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E3" w:rsidRDefault="002E28E3" w:rsidP="000E27D1">
      <w:pPr>
        <w:pStyle w:val="Heading1"/>
      </w:pPr>
      <w:r>
        <w:t xml:space="preserve">SCHOOL/DEPARTMENT: </w:t>
      </w:r>
      <w:r w:rsidR="0087788A">
        <w:t>Architecture &amp; Planning</w:t>
      </w:r>
    </w:p>
    <w:p w:rsidR="002E28E3" w:rsidRDefault="002E28E3" w:rsidP="000E27D1">
      <w:pPr>
        <w:pStyle w:val="Heading1"/>
      </w:pPr>
      <w:r>
        <w:t xml:space="preserve">COURSE OUTLINE: </w:t>
      </w:r>
      <w:r w:rsidR="0087788A">
        <w:t>ARCHDES</w:t>
      </w:r>
      <w:r w:rsidR="00F00561">
        <w:t>3</w:t>
      </w:r>
      <w:r w:rsidR="0087788A">
        <w:t xml:space="preserve">00 </w:t>
      </w:r>
      <w:r>
        <w:t xml:space="preserve">/ </w:t>
      </w:r>
      <w:r w:rsidR="0087788A">
        <w:t>Semester 1, 2017</w:t>
      </w:r>
    </w:p>
    <w:p w:rsidR="002E28E3" w:rsidRDefault="002E28E3" w:rsidP="00D80895">
      <w:pPr>
        <w:pStyle w:val="Heading2"/>
        <w:numPr>
          <w:ilvl w:val="0"/>
          <w:numId w:val="2"/>
        </w:numPr>
      </w:pPr>
      <w:r w:rsidRPr="002E28E3">
        <w:t>GENERAL COURSE INFORMATION</w:t>
      </w:r>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CellMar>
          <w:top w:w="28" w:type="dxa"/>
          <w:left w:w="85" w:type="dxa"/>
          <w:right w:w="85" w:type="dxa"/>
        </w:tblCellMar>
        <w:tblLook w:val="04A0" w:firstRow="1" w:lastRow="0" w:firstColumn="1" w:lastColumn="0" w:noHBand="0" w:noVBand="1"/>
      </w:tblPr>
      <w:tblGrid>
        <w:gridCol w:w="2268"/>
        <w:gridCol w:w="7926"/>
      </w:tblGrid>
      <w:tr w:rsidR="00D80895" w:rsidRPr="00D80895" w:rsidTr="002569C9">
        <w:tc>
          <w:tcPr>
            <w:tcW w:w="2268" w:type="dxa"/>
          </w:tcPr>
          <w:p w:rsidR="00D80895" w:rsidRPr="00615EF2" w:rsidRDefault="00D80895" w:rsidP="0087788A">
            <w:pPr>
              <w:rPr>
                <w:b/>
              </w:rPr>
            </w:pPr>
            <w:r w:rsidRPr="00615EF2">
              <w:rPr>
                <w:b/>
              </w:rPr>
              <w:t>Course Code:</w:t>
            </w:r>
          </w:p>
        </w:tc>
        <w:tc>
          <w:tcPr>
            <w:tcW w:w="7926" w:type="dxa"/>
          </w:tcPr>
          <w:p w:rsidR="00D80895" w:rsidRPr="003D6DF2" w:rsidRDefault="0087788A" w:rsidP="0087788A">
            <w:r w:rsidRPr="003D6DF2">
              <w:rPr>
                <w:rFonts w:cs="Arial"/>
                <w:szCs w:val="20"/>
              </w:rPr>
              <w:t>ARCHDES</w:t>
            </w:r>
            <w:r w:rsidR="00F00561" w:rsidRPr="003D6DF2">
              <w:rPr>
                <w:rFonts w:cs="Arial"/>
                <w:szCs w:val="20"/>
              </w:rPr>
              <w:t>3</w:t>
            </w:r>
            <w:r w:rsidRPr="003D6DF2">
              <w:rPr>
                <w:rFonts w:cs="Arial"/>
                <w:szCs w:val="20"/>
              </w:rPr>
              <w:t>00</w:t>
            </w:r>
          </w:p>
        </w:tc>
      </w:tr>
      <w:tr w:rsidR="00D80895" w:rsidRPr="00D80895" w:rsidTr="002569C9">
        <w:tc>
          <w:tcPr>
            <w:tcW w:w="2268" w:type="dxa"/>
          </w:tcPr>
          <w:p w:rsidR="00D80895" w:rsidRPr="00615EF2" w:rsidRDefault="00D80895" w:rsidP="0087788A">
            <w:pPr>
              <w:rPr>
                <w:b/>
              </w:rPr>
            </w:pPr>
            <w:r w:rsidRPr="00615EF2">
              <w:rPr>
                <w:b/>
              </w:rPr>
              <w:t>Course Title:</w:t>
            </w:r>
          </w:p>
        </w:tc>
        <w:tc>
          <w:tcPr>
            <w:tcW w:w="7926" w:type="dxa"/>
          </w:tcPr>
          <w:p w:rsidR="00D80895" w:rsidRPr="00D80895" w:rsidRDefault="0087788A" w:rsidP="0087788A">
            <w:r>
              <w:t>Design 5</w:t>
            </w:r>
          </w:p>
        </w:tc>
      </w:tr>
      <w:tr w:rsidR="00D80895" w:rsidRPr="00D80895" w:rsidTr="002569C9">
        <w:tc>
          <w:tcPr>
            <w:tcW w:w="2268" w:type="dxa"/>
          </w:tcPr>
          <w:p w:rsidR="00D80895" w:rsidRPr="00615EF2" w:rsidRDefault="00D80895" w:rsidP="0087788A">
            <w:pPr>
              <w:rPr>
                <w:b/>
              </w:rPr>
            </w:pPr>
            <w:r w:rsidRPr="00615EF2">
              <w:rPr>
                <w:b/>
              </w:rPr>
              <w:t>Points Value:</w:t>
            </w:r>
          </w:p>
        </w:tc>
        <w:tc>
          <w:tcPr>
            <w:tcW w:w="7926" w:type="dxa"/>
          </w:tcPr>
          <w:p w:rsidR="00D80895" w:rsidRPr="00D80895" w:rsidRDefault="0087788A" w:rsidP="0087788A">
            <w:r w:rsidRPr="00E46884">
              <w:rPr>
                <w:rFonts w:cs="Arial"/>
                <w:bCs/>
                <w:szCs w:val="20"/>
              </w:rPr>
              <w:t>30 points</w:t>
            </w:r>
          </w:p>
        </w:tc>
      </w:tr>
      <w:tr w:rsidR="00D80895" w:rsidRPr="00D80895" w:rsidTr="002569C9">
        <w:tc>
          <w:tcPr>
            <w:tcW w:w="2268" w:type="dxa"/>
          </w:tcPr>
          <w:p w:rsidR="00D80895" w:rsidRPr="00615EF2" w:rsidRDefault="00D80895" w:rsidP="0087788A">
            <w:pPr>
              <w:rPr>
                <w:b/>
              </w:rPr>
            </w:pPr>
            <w:r w:rsidRPr="00615EF2">
              <w:rPr>
                <w:b/>
              </w:rPr>
              <w:t>Prerequisites:</w:t>
            </w:r>
          </w:p>
        </w:tc>
        <w:tc>
          <w:tcPr>
            <w:tcW w:w="7926" w:type="dxa"/>
          </w:tcPr>
          <w:p w:rsidR="00D80895" w:rsidRPr="00D80895" w:rsidRDefault="0087788A" w:rsidP="0087788A">
            <w:r w:rsidRPr="00E46884">
              <w:rPr>
                <w:rFonts w:cs="Arial"/>
                <w:bCs/>
                <w:szCs w:val="20"/>
              </w:rPr>
              <w:t>ARCHDES200 or 21</w:t>
            </w:r>
            <w:r>
              <w:rPr>
                <w:rFonts w:cs="Arial"/>
                <w:bCs/>
                <w:szCs w:val="20"/>
              </w:rPr>
              <w:t>0</w:t>
            </w:r>
          </w:p>
        </w:tc>
      </w:tr>
      <w:tr w:rsidR="00D80895" w:rsidTr="002569C9">
        <w:tc>
          <w:tcPr>
            <w:tcW w:w="2268" w:type="dxa"/>
          </w:tcPr>
          <w:p w:rsidR="00D80895" w:rsidRPr="00615EF2" w:rsidRDefault="00D80895" w:rsidP="0087788A">
            <w:pPr>
              <w:rPr>
                <w:b/>
              </w:rPr>
            </w:pPr>
            <w:r w:rsidRPr="00615EF2">
              <w:rPr>
                <w:b/>
              </w:rPr>
              <w:t>Restrictions:</w:t>
            </w:r>
          </w:p>
        </w:tc>
        <w:tc>
          <w:tcPr>
            <w:tcW w:w="7926" w:type="dxa"/>
          </w:tcPr>
          <w:p w:rsidR="00D80895" w:rsidRDefault="0087788A" w:rsidP="0087788A">
            <w:r w:rsidRPr="00E46884">
              <w:rPr>
                <w:rFonts w:cs="Arial"/>
                <w:bCs/>
                <w:szCs w:val="20"/>
              </w:rPr>
              <w:t>ARCHDES310</w:t>
            </w:r>
          </w:p>
        </w:tc>
      </w:tr>
      <w:tr w:rsidR="00594C13" w:rsidTr="00DA1210">
        <w:tc>
          <w:tcPr>
            <w:tcW w:w="2268" w:type="dxa"/>
          </w:tcPr>
          <w:p w:rsidR="00594C13" w:rsidRPr="00615EF2" w:rsidRDefault="00594C13" w:rsidP="00DA1210">
            <w:pPr>
              <w:rPr>
                <w:b/>
              </w:rPr>
            </w:pPr>
            <w:r w:rsidRPr="00615EF2">
              <w:rPr>
                <w:b/>
              </w:rPr>
              <w:t xml:space="preserve">Course </w:t>
            </w:r>
            <w:r>
              <w:rPr>
                <w:b/>
              </w:rPr>
              <w:t>Director</w:t>
            </w:r>
            <w:r w:rsidRPr="00615EF2">
              <w:rPr>
                <w:b/>
              </w:rPr>
              <w:t>:</w:t>
            </w:r>
          </w:p>
        </w:tc>
        <w:tc>
          <w:tcPr>
            <w:tcW w:w="7926" w:type="dxa"/>
          </w:tcPr>
          <w:p w:rsidR="00594C13" w:rsidRPr="00D80895" w:rsidRDefault="00594C13" w:rsidP="00DA1210">
            <w:r>
              <w:t xml:space="preserve">Prof </w:t>
            </w:r>
            <w:r w:rsidRPr="0087788A">
              <w:t>Andrew Barrie</w:t>
            </w:r>
            <w:r>
              <w:t>,</w:t>
            </w:r>
            <w:r w:rsidRPr="0087788A">
              <w:t xml:space="preserve"> </w:t>
            </w:r>
            <w:r>
              <w:t xml:space="preserve">Room 335, Building 421, </w:t>
            </w:r>
            <w:r w:rsidRPr="0087788A">
              <w:t>a.barrie@auckland.ac.nz</w:t>
            </w:r>
          </w:p>
        </w:tc>
      </w:tr>
      <w:tr w:rsidR="0087788A" w:rsidTr="0087788A">
        <w:tc>
          <w:tcPr>
            <w:tcW w:w="2268" w:type="dxa"/>
          </w:tcPr>
          <w:p w:rsidR="0087788A" w:rsidRPr="00615EF2" w:rsidRDefault="0087788A" w:rsidP="0087788A">
            <w:pPr>
              <w:rPr>
                <w:b/>
              </w:rPr>
            </w:pPr>
            <w:r w:rsidRPr="00615EF2">
              <w:rPr>
                <w:b/>
              </w:rPr>
              <w:t>Course Co</w:t>
            </w:r>
            <w:r>
              <w:rPr>
                <w:b/>
              </w:rPr>
              <w:t>-</w:t>
            </w:r>
            <w:r w:rsidRPr="00615EF2">
              <w:rPr>
                <w:b/>
              </w:rPr>
              <w:t>ordinator:</w:t>
            </w:r>
          </w:p>
        </w:tc>
        <w:tc>
          <w:tcPr>
            <w:tcW w:w="7926" w:type="dxa"/>
          </w:tcPr>
          <w:p w:rsidR="0087788A" w:rsidRPr="00D80895" w:rsidRDefault="00594C13" w:rsidP="00594C13">
            <w:r>
              <w:t xml:space="preserve">Aprof Uwe Rieger, Room 544, Building 421, </w:t>
            </w:r>
            <w:r w:rsidR="003D6DF2" w:rsidRPr="003D6DF2">
              <w:t>u.rieger@auckland.ac.nz&gt;</w:t>
            </w:r>
          </w:p>
        </w:tc>
      </w:tr>
      <w:tr w:rsidR="00D80895" w:rsidTr="002569C9">
        <w:tc>
          <w:tcPr>
            <w:tcW w:w="2268" w:type="dxa"/>
          </w:tcPr>
          <w:p w:rsidR="00D80895" w:rsidRPr="00615EF2" w:rsidRDefault="00D80895" w:rsidP="0087788A">
            <w:pPr>
              <w:rPr>
                <w:b/>
              </w:rPr>
            </w:pPr>
            <w:r w:rsidRPr="00615EF2">
              <w:rPr>
                <w:b/>
              </w:rPr>
              <w:t xml:space="preserve">Teaching </w:t>
            </w:r>
            <w:r w:rsidR="002569C9" w:rsidRPr="00615EF2">
              <w:rPr>
                <w:b/>
              </w:rPr>
              <w:t>Staff</w:t>
            </w:r>
            <w:r w:rsidRPr="00615EF2">
              <w:rPr>
                <w:b/>
              </w:rPr>
              <w:t>:</w:t>
            </w:r>
          </w:p>
        </w:tc>
        <w:tc>
          <w:tcPr>
            <w:tcW w:w="7926" w:type="dxa"/>
          </w:tcPr>
          <w:p w:rsidR="00AC268F" w:rsidRPr="009276C6" w:rsidRDefault="00A866DA" w:rsidP="0087788A">
            <w:pPr>
              <w:rPr>
                <w:b/>
                <w:color w:val="CC0000"/>
                <w:lang w:val="it-IT"/>
              </w:rPr>
            </w:pPr>
            <w:r w:rsidRPr="009276C6">
              <w:rPr>
                <w:b/>
                <w:color w:val="CC0000"/>
                <w:sz w:val="22"/>
                <w:lang w:val="it-IT"/>
              </w:rPr>
              <w:t>Manfredo Manfredini</w:t>
            </w:r>
            <w:r w:rsidR="00AC268F" w:rsidRPr="009276C6">
              <w:rPr>
                <w:b/>
                <w:color w:val="CC0000"/>
                <w:lang w:val="it-IT"/>
              </w:rPr>
              <w:t xml:space="preserve"> </w:t>
            </w:r>
            <w:r w:rsidR="009276C6" w:rsidRPr="009276C6">
              <w:rPr>
                <w:b/>
                <w:color w:val="CC0000"/>
                <w:lang w:val="it-IT"/>
              </w:rPr>
              <w:t>&lt;</w:t>
            </w:r>
            <w:r w:rsidR="00AC268F" w:rsidRPr="009276C6">
              <w:rPr>
                <w:b/>
                <w:color w:val="CC0000"/>
                <w:lang w:val="it-IT"/>
              </w:rPr>
              <w:t>m.manfredini@auckland.ac.nz</w:t>
            </w:r>
            <w:r w:rsidR="009276C6" w:rsidRPr="009276C6">
              <w:rPr>
                <w:b/>
                <w:color w:val="CC0000"/>
                <w:lang w:val="it-IT"/>
              </w:rPr>
              <w:t>&gt;</w:t>
            </w:r>
          </w:p>
          <w:p w:rsidR="00D80895" w:rsidRPr="00AC268F" w:rsidRDefault="00AC268F" w:rsidP="00AC268F">
            <w:pPr>
              <w:rPr>
                <w:color w:val="CC0000"/>
              </w:rPr>
            </w:pPr>
            <w:r w:rsidRPr="009276C6">
              <w:rPr>
                <w:b/>
                <w:color w:val="CC0000"/>
                <w:sz w:val="22"/>
              </w:rPr>
              <w:t>Tanya Chalermtip and Angelo Bueno</w:t>
            </w:r>
          </w:p>
        </w:tc>
      </w:tr>
    </w:tbl>
    <w:p w:rsidR="002E28E3" w:rsidRDefault="000E27D1" w:rsidP="002E28E3">
      <w:pPr>
        <w:pStyle w:val="Heading2"/>
      </w:pPr>
      <w:r>
        <w:t>2.0</w:t>
      </w:r>
      <w:r>
        <w:tab/>
      </w:r>
      <w:r w:rsidR="002E28E3">
        <w:t>CLASS CONTACT HOURS</w:t>
      </w:r>
    </w:p>
    <w:p w:rsidR="002E28E3" w:rsidRDefault="0087788A" w:rsidP="002E28E3">
      <w:r w:rsidRPr="0054100E">
        <w:rPr>
          <w:rFonts w:cs="Arial"/>
        </w:rPr>
        <w:t>Monday, Tuesday &amp; Friday, 1pm – 5pm</w:t>
      </w:r>
      <w:r w:rsidR="00594C13">
        <w:t>; Level 4 Design Studios</w:t>
      </w:r>
      <w:r w:rsidR="00594C13">
        <w:rPr>
          <w:rFonts w:cs="Arial"/>
        </w:rPr>
        <w:t>,</w:t>
      </w:r>
      <w:r w:rsidR="00594C13" w:rsidRPr="00BE1F96">
        <w:t xml:space="preserve"> </w:t>
      </w:r>
      <w:r w:rsidR="00594C13">
        <w:t>Building 421.</w:t>
      </w:r>
    </w:p>
    <w:p w:rsidR="002E28E3" w:rsidRDefault="000E27D1" w:rsidP="002E28E3">
      <w:pPr>
        <w:pStyle w:val="Heading2"/>
      </w:pPr>
      <w:r>
        <w:t>3.0</w:t>
      </w:r>
      <w:r>
        <w:tab/>
      </w:r>
      <w:r w:rsidR="002E28E3">
        <w:t>COURSE PRESCRIPTION</w:t>
      </w:r>
    </w:p>
    <w:p w:rsidR="002E28E3" w:rsidRPr="00CF110C" w:rsidRDefault="0087788A" w:rsidP="00CF0DB7">
      <w:pPr>
        <w:spacing w:after="200"/>
        <w:rPr>
          <w:rFonts w:cs="Arial"/>
          <w:color w:val="008000"/>
          <w:szCs w:val="20"/>
          <w:lang w:val="en-US"/>
        </w:rPr>
      </w:pPr>
      <w:r w:rsidRPr="00E46884">
        <w:rPr>
          <w:rFonts w:cs="Arial"/>
          <w:szCs w:val="20"/>
          <w:lang w:val="en-US"/>
        </w:rPr>
        <w:t>The Collected: An introduction to a complex architectural thinking. Examines both conceptual and exceptional spaces and develops an understanding of the corresponding architectural systems.</w:t>
      </w:r>
    </w:p>
    <w:p w:rsidR="00AD620C" w:rsidRPr="004E3932" w:rsidRDefault="00AD620C" w:rsidP="0087788A">
      <w:pPr>
        <w:rPr>
          <w:rFonts w:cs="Arial"/>
          <w:b/>
          <w:bCs/>
          <w:color w:val="CC0000"/>
          <w:sz w:val="36"/>
          <w:szCs w:val="20"/>
        </w:rPr>
      </w:pPr>
      <w:r w:rsidRPr="004E3932">
        <w:rPr>
          <w:rFonts w:cs="Arial"/>
          <w:b/>
          <w:bCs/>
          <w:color w:val="CC0000"/>
          <w:sz w:val="36"/>
          <w:szCs w:val="20"/>
        </w:rPr>
        <w:t>Play and the city</w:t>
      </w:r>
    </w:p>
    <w:p w:rsidR="004E3932" w:rsidRDefault="004E3932" w:rsidP="0087788A">
      <w:pPr>
        <w:rPr>
          <w:rFonts w:cs="Arial"/>
          <w:b/>
          <w:bCs/>
          <w:color w:val="FF0000"/>
          <w:sz w:val="36"/>
          <w:szCs w:val="20"/>
        </w:rPr>
      </w:pPr>
      <w:r w:rsidRPr="004E3932">
        <w:rPr>
          <w:rFonts w:cs="Arial"/>
          <w:b/>
          <w:bCs/>
          <w:color w:val="CC0000"/>
          <w:sz w:val="22"/>
          <w:szCs w:val="20"/>
        </w:rPr>
        <w:t xml:space="preserve">Shaping relational infrastructures to find the </w:t>
      </w:r>
      <w:r w:rsidRPr="004E3932">
        <w:rPr>
          <w:rFonts w:cs="Arial"/>
          <w:b/>
          <w:bCs/>
          <w:i/>
          <w:color w:val="CC0000"/>
          <w:sz w:val="22"/>
          <w:szCs w:val="20"/>
        </w:rPr>
        <w:t>marvellous and the surprising in the city of spectacle</w:t>
      </w:r>
    </w:p>
    <w:p w:rsidR="000C4F04" w:rsidRDefault="00395865" w:rsidP="000C4F04">
      <w:pPr>
        <w:pStyle w:val="NormalWeb"/>
        <w:spacing w:before="0" w:beforeAutospacing="0" w:after="0" w:afterAutospacing="0"/>
        <w:rPr>
          <w:rFonts w:ascii="Arial" w:hAnsi="Arial" w:cs="Arial"/>
          <w:sz w:val="10"/>
          <w:szCs w:val="20"/>
          <w:lang w:val="en-GB"/>
        </w:rPr>
      </w:pPr>
      <w:r>
        <w:rPr>
          <w:rFonts w:ascii="Arial" w:hAnsi="Arial" w:cs="Arial"/>
          <w:noProof/>
          <w:sz w:val="20"/>
          <w:szCs w:val="20"/>
          <w:lang w:val="en-NZ" w:eastAsia="en-NZ"/>
        </w:rPr>
        <w:drawing>
          <wp:inline distT="0" distB="0" distL="0" distR="0" wp14:anchorId="3D00035B" wp14:editId="448D8FED">
            <wp:extent cx="647954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essive final by Emre Icdem2.jpg"/>
                    <pic:cNvPicPr/>
                  </pic:nvPicPr>
                  <pic:blipFill rotWithShape="1">
                    <a:blip r:embed="rId7"/>
                    <a:srcRect t="262" b="10887"/>
                    <a:stretch/>
                  </pic:blipFill>
                  <pic:spPr bwMode="auto">
                    <a:xfrm>
                      <a:off x="0" y="0"/>
                      <a:ext cx="6479540" cy="3238500"/>
                    </a:xfrm>
                    <a:prstGeom prst="rect">
                      <a:avLst/>
                    </a:prstGeom>
                    <a:ln>
                      <a:noFill/>
                    </a:ln>
                    <a:extLst>
                      <a:ext uri="{53640926-AAD7-44D8-BBD7-CCE9431645EC}">
                        <a14:shadowObscured xmlns:a14="http://schemas.microsoft.com/office/drawing/2010/main"/>
                      </a:ext>
                    </a:extLst>
                  </pic:spPr>
                </pic:pic>
              </a:graphicData>
            </a:graphic>
          </wp:inline>
        </w:drawing>
      </w:r>
    </w:p>
    <w:p w:rsidR="004E3932" w:rsidRPr="004E3932" w:rsidRDefault="004E3932" w:rsidP="004E3932">
      <w:pPr>
        <w:pStyle w:val="Caption"/>
        <w:jc w:val="left"/>
        <w:rPr>
          <w:color w:val="auto"/>
          <w:sz w:val="16"/>
        </w:rPr>
      </w:pPr>
      <w:r w:rsidRPr="004E3932">
        <w:rPr>
          <w:color w:val="auto"/>
          <w:sz w:val="16"/>
        </w:rPr>
        <w:t xml:space="preserve">Emre Icdem, </w:t>
      </w:r>
      <w:r w:rsidR="001526B2">
        <w:rPr>
          <w:color w:val="auto"/>
          <w:sz w:val="16"/>
        </w:rPr>
        <w:t>Excessive final, 2012-14</w:t>
      </w:r>
    </w:p>
    <w:p w:rsidR="004E3932" w:rsidRDefault="004E3932" w:rsidP="000C4F04">
      <w:pPr>
        <w:pStyle w:val="NormalWeb"/>
        <w:spacing w:before="0" w:beforeAutospacing="0" w:after="0" w:afterAutospacing="0"/>
        <w:rPr>
          <w:rFonts w:ascii="Arial" w:hAnsi="Arial" w:cs="Arial"/>
          <w:sz w:val="10"/>
          <w:szCs w:val="20"/>
          <w:lang w:val="en-GB"/>
        </w:rPr>
      </w:pPr>
    </w:p>
    <w:p w:rsidR="00F307B6" w:rsidRDefault="002C6534" w:rsidP="00C52353">
      <w:pPr>
        <w:pStyle w:val="Heading2"/>
        <w:numPr>
          <w:ilvl w:val="0"/>
          <w:numId w:val="10"/>
        </w:numPr>
        <w:ind w:left="567" w:hanging="567"/>
        <w:rPr>
          <w:rFonts w:cs="Arial"/>
          <w:szCs w:val="20"/>
          <w:lang w:val="en-GB"/>
        </w:rPr>
      </w:pPr>
      <w:r>
        <w:t>The d</w:t>
      </w:r>
      <w:r w:rsidR="00F307B6">
        <w:rPr>
          <w:rFonts w:cs="Arial"/>
          <w:szCs w:val="20"/>
          <w:lang w:val="en-GB"/>
        </w:rPr>
        <w:t xml:space="preserve">esign </w:t>
      </w:r>
      <w:r w:rsidR="00A16F54">
        <w:rPr>
          <w:rFonts w:cs="Arial"/>
          <w:szCs w:val="20"/>
          <w:lang w:val="en-GB"/>
        </w:rPr>
        <w:t>topic</w:t>
      </w:r>
      <w:r w:rsidR="00F307B6">
        <w:rPr>
          <w:rFonts w:cs="Arial"/>
          <w:szCs w:val="20"/>
          <w:lang w:val="en-GB"/>
        </w:rPr>
        <w:t xml:space="preserve">: </w:t>
      </w:r>
      <w:r>
        <w:rPr>
          <w:rFonts w:cs="Arial"/>
          <w:szCs w:val="20"/>
          <w:lang w:val="en-GB"/>
        </w:rPr>
        <w:t>a</w:t>
      </w:r>
      <w:r w:rsidR="00F307B6">
        <w:rPr>
          <w:rFonts w:cs="Arial"/>
          <w:szCs w:val="20"/>
          <w:lang w:val="en-GB"/>
        </w:rPr>
        <w:t xml:space="preserve"> novel spatial paradox </w:t>
      </w:r>
    </w:p>
    <w:p w:rsidR="006E1D41" w:rsidRDefault="00546B62" w:rsidP="000C4F04">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F</w:t>
      </w:r>
      <w:r w:rsidR="000C4F04">
        <w:rPr>
          <w:rFonts w:ascii="Arial" w:hAnsi="Arial" w:cs="Arial"/>
          <w:sz w:val="20"/>
          <w:szCs w:val="20"/>
          <w:lang w:val="en-GB"/>
        </w:rPr>
        <w:t xml:space="preserve">orm </w:t>
      </w:r>
      <w:r>
        <w:rPr>
          <w:rFonts w:ascii="Arial" w:hAnsi="Arial" w:cs="Arial"/>
          <w:sz w:val="20"/>
          <w:szCs w:val="20"/>
          <w:lang w:val="en-GB"/>
        </w:rPr>
        <w:t xml:space="preserve">and infrastructure </w:t>
      </w:r>
      <w:r w:rsidR="000C4F04">
        <w:rPr>
          <w:rFonts w:ascii="Arial" w:hAnsi="Arial" w:cs="Arial"/>
          <w:sz w:val="20"/>
          <w:szCs w:val="20"/>
          <w:lang w:val="en-GB"/>
        </w:rPr>
        <w:t xml:space="preserve">of </w:t>
      </w:r>
      <w:r w:rsidR="007B607A">
        <w:rPr>
          <w:rFonts w:ascii="Arial" w:hAnsi="Arial" w:cs="Arial"/>
          <w:sz w:val="20"/>
          <w:szCs w:val="20"/>
          <w:lang w:val="en-GB"/>
        </w:rPr>
        <w:t xml:space="preserve">our cities </w:t>
      </w:r>
      <w:r w:rsidR="000C4F04">
        <w:rPr>
          <w:rFonts w:ascii="Arial" w:hAnsi="Arial" w:cs="Arial"/>
          <w:sz w:val="20"/>
          <w:szCs w:val="20"/>
          <w:lang w:val="en-GB"/>
        </w:rPr>
        <w:t xml:space="preserve">progressively supports </w:t>
      </w:r>
      <w:r>
        <w:rPr>
          <w:rFonts w:ascii="Arial" w:hAnsi="Arial" w:cs="Arial"/>
          <w:sz w:val="20"/>
          <w:szCs w:val="20"/>
          <w:lang w:val="en-GB"/>
        </w:rPr>
        <w:t xml:space="preserve">both </w:t>
      </w:r>
      <w:r w:rsidR="000C4F04">
        <w:rPr>
          <w:rFonts w:ascii="Arial" w:hAnsi="Arial" w:cs="Arial"/>
          <w:sz w:val="20"/>
          <w:szCs w:val="20"/>
          <w:lang w:val="en-GB"/>
        </w:rPr>
        <w:t xml:space="preserve">the fragmentation </w:t>
      </w:r>
      <w:r>
        <w:rPr>
          <w:rFonts w:ascii="Arial" w:hAnsi="Arial" w:cs="Arial"/>
          <w:sz w:val="20"/>
          <w:szCs w:val="20"/>
          <w:lang w:val="en-GB"/>
        </w:rPr>
        <w:t xml:space="preserve">and recombination </w:t>
      </w:r>
      <w:r w:rsidR="000C4F04">
        <w:rPr>
          <w:rFonts w:ascii="Arial" w:hAnsi="Arial" w:cs="Arial"/>
          <w:sz w:val="20"/>
          <w:szCs w:val="20"/>
          <w:lang w:val="en-GB"/>
        </w:rPr>
        <w:t>of society</w:t>
      </w:r>
      <w:r>
        <w:rPr>
          <w:rFonts w:ascii="Arial" w:hAnsi="Arial" w:cs="Arial"/>
          <w:sz w:val="20"/>
          <w:szCs w:val="20"/>
          <w:lang w:val="en-GB"/>
        </w:rPr>
        <w:t>, p</w:t>
      </w:r>
      <w:r w:rsidR="006E1D41">
        <w:rPr>
          <w:rFonts w:ascii="Arial" w:hAnsi="Arial" w:cs="Arial"/>
          <w:sz w:val="20"/>
          <w:szCs w:val="20"/>
          <w:lang w:val="en-GB"/>
        </w:rPr>
        <w:t>rop</w:t>
      </w:r>
      <w:r>
        <w:rPr>
          <w:rFonts w:ascii="Arial" w:hAnsi="Arial" w:cs="Arial"/>
          <w:sz w:val="20"/>
          <w:szCs w:val="20"/>
          <w:lang w:val="en-GB"/>
        </w:rPr>
        <w:t>osing design a novel spatial paradox. On one hand m</w:t>
      </w:r>
      <w:r w:rsidR="000C4F04">
        <w:rPr>
          <w:rFonts w:ascii="Arial" w:hAnsi="Arial" w:cs="Arial"/>
          <w:sz w:val="20"/>
          <w:szCs w:val="20"/>
          <w:lang w:val="en-GB"/>
        </w:rPr>
        <w:t>ovement networks of everyday life increasingly expand, extending distances between homes, workplaces and amenities.</w:t>
      </w:r>
      <w:r w:rsidR="007B607A">
        <w:rPr>
          <w:rFonts w:ascii="Arial" w:hAnsi="Arial" w:cs="Arial"/>
          <w:sz w:val="20"/>
          <w:szCs w:val="20"/>
          <w:lang w:val="en-GB"/>
        </w:rPr>
        <w:t xml:space="preserve"> Our c</w:t>
      </w:r>
      <w:r w:rsidR="000C4F04">
        <w:rPr>
          <w:rFonts w:ascii="Arial" w:hAnsi="Arial" w:cs="Arial"/>
          <w:sz w:val="20"/>
          <w:szCs w:val="20"/>
          <w:lang w:val="en-GB"/>
        </w:rPr>
        <w:t>ollective</w:t>
      </w:r>
      <w:r w:rsidR="007B607A">
        <w:rPr>
          <w:rFonts w:ascii="Arial" w:hAnsi="Arial" w:cs="Arial"/>
          <w:sz w:val="20"/>
          <w:szCs w:val="20"/>
          <w:lang w:val="en-GB"/>
        </w:rPr>
        <w:t xml:space="preserve"> experience in public space is more and more confined within </w:t>
      </w:r>
      <w:r w:rsidR="007B607A" w:rsidRPr="007B607A">
        <w:rPr>
          <w:rFonts w:ascii="Arial" w:hAnsi="Arial" w:cs="Arial"/>
          <w:sz w:val="20"/>
          <w:szCs w:val="20"/>
          <w:lang w:val="en-GB"/>
        </w:rPr>
        <w:t xml:space="preserve">carefully orchestrated places of consumption, like the shopping mall or </w:t>
      </w:r>
      <w:r w:rsidR="007B607A">
        <w:rPr>
          <w:rFonts w:ascii="Arial" w:hAnsi="Arial" w:cs="Arial"/>
          <w:sz w:val="20"/>
          <w:szCs w:val="20"/>
          <w:lang w:val="en-GB"/>
        </w:rPr>
        <w:t xml:space="preserve">entertainment parks. </w:t>
      </w:r>
      <w:r>
        <w:rPr>
          <w:rFonts w:ascii="Arial" w:hAnsi="Arial" w:cs="Arial"/>
          <w:sz w:val="20"/>
          <w:szCs w:val="20"/>
          <w:lang w:val="en-GB"/>
        </w:rPr>
        <w:t xml:space="preserve">On the other </w:t>
      </w:r>
      <w:r w:rsidR="004D7900">
        <w:rPr>
          <w:rFonts w:ascii="Arial" w:hAnsi="Arial" w:cs="Arial"/>
          <w:sz w:val="20"/>
          <w:szCs w:val="20"/>
          <w:lang w:val="en-GB"/>
        </w:rPr>
        <w:t>hand,</w:t>
      </w:r>
      <w:r>
        <w:rPr>
          <w:rFonts w:ascii="Arial" w:hAnsi="Arial" w:cs="Arial"/>
          <w:sz w:val="20"/>
          <w:szCs w:val="20"/>
          <w:lang w:val="en-GB"/>
        </w:rPr>
        <w:t xml:space="preserve"> n</w:t>
      </w:r>
      <w:r w:rsidR="000C4F04" w:rsidRPr="001928B1">
        <w:rPr>
          <w:rFonts w:ascii="Arial" w:hAnsi="Arial" w:cs="Arial"/>
          <w:sz w:val="20"/>
          <w:szCs w:val="20"/>
          <w:lang w:val="en-GB"/>
        </w:rPr>
        <w:t>ew recombinant factors emerging in urban public space counteract th</w:t>
      </w:r>
      <w:r>
        <w:rPr>
          <w:rFonts w:ascii="Arial" w:hAnsi="Arial" w:cs="Arial"/>
          <w:sz w:val="20"/>
          <w:szCs w:val="20"/>
          <w:lang w:val="en-GB"/>
        </w:rPr>
        <w:t>e</w:t>
      </w:r>
      <w:r w:rsidR="007B607A">
        <w:rPr>
          <w:rFonts w:ascii="Arial" w:hAnsi="Arial" w:cs="Arial"/>
          <w:sz w:val="20"/>
          <w:szCs w:val="20"/>
          <w:lang w:val="en-GB"/>
        </w:rPr>
        <w:t xml:space="preserve"> growing</w:t>
      </w:r>
      <w:r w:rsidR="000C4F04" w:rsidRPr="001928B1">
        <w:rPr>
          <w:rFonts w:ascii="Arial" w:hAnsi="Arial" w:cs="Arial"/>
          <w:sz w:val="20"/>
          <w:szCs w:val="20"/>
          <w:lang w:val="en-GB"/>
        </w:rPr>
        <w:t xml:space="preserve"> disjunction </w:t>
      </w:r>
      <w:r w:rsidR="007B607A">
        <w:rPr>
          <w:rFonts w:ascii="Arial" w:hAnsi="Arial" w:cs="Arial"/>
          <w:sz w:val="20"/>
          <w:szCs w:val="20"/>
          <w:lang w:val="en-GB"/>
        </w:rPr>
        <w:t xml:space="preserve">and the effects of </w:t>
      </w:r>
      <w:r w:rsidR="000C4F04" w:rsidRPr="001928B1">
        <w:rPr>
          <w:rFonts w:ascii="Arial" w:hAnsi="Arial" w:cs="Arial"/>
          <w:sz w:val="20"/>
          <w:szCs w:val="20"/>
          <w:lang w:val="en-GB"/>
        </w:rPr>
        <w:t xml:space="preserve">commodification and privatisation. </w:t>
      </w:r>
    </w:p>
    <w:p w:rsidR="00EC36FB" w:rsidRDefault="000C4F04" w:rsidP="00F307B6">
      <w:pPr>
        <w:pStyle w:val="NormalWeb"/>
        <w:spacing w:before="0" w:beforeAutospacing="0" w:after="0" w:afterAutospacing="0"/>
        <w:rPr>
          <w:rFonts w:ascii="Arial" w:hAnsi="Arial" w:cs="Arial"/>
          <w:sz w:val="20"/>
          <w:szCs w:val="20"/>
          <w:lang w:val="en-GB"/>
        </w:rPr>
      </w:pPr>
      <w:r w:rsidRPr="001928B1">
        <w:rPr>
          <w:rFonts w:ascii="Arial" w:hAnsi="Arial" w:cs="Arial"/>
          <w:sz w:val="20"/>
          <w:szCs w:val="20"/>
          <w:lang w:val="en-GB"/>
        </w:rPr>
        <w:t xml:space="preserve">Cities like Auckland, with low population density and a political framework inspired by the free market doctrine, </w:t>
      </w:r>
      <w:r w:rsidR="007B607A">
        <w:rPr>
          <w:rFonts w:ascii="Arial" w:hAnsi="Arial" w:cs="Arial"/>
          <w:sz w:val="20"/>
          <w:szCs w:val="20"/>
          <w:lang w:val="en-GB"/>
        </w:rPr>
        <w:t>show this trend at its best and</w:t>
      </w:r>
      <w:r w:rsidR="00CF110C">
        <w:rPr>
          <w:rFonts w:ascii="Arial" w:hAnsi="Arial" w:cs="Arial"/>
          <w:sz w:val="20"/>
          <w:szCs w:val="20"/>
          <w:lang w:val="en-GB"/>
        </w:rPr>
        <w:t>,</w:t>
      </w:r>
      <w:r w:rsidR="007B607A">
        <w:rPr>
          <w:rFonts w:ascii="Arial" w:hAnsi="Arial" w:cs="Arial"/>
          <w:sz w:val="20"/>
          <w:szCs w:val="20"/>
          <w:lang w:val="en-GB"/>
        </w:rPr>
        <w:t xml:space="preserve"> </w:t>
      </w:r>
      <w:r w:rsidR="00CF110C" w:rsidRPr="001928B1">
        <w:rPr>
          <w:rFonts w:ascii="Arial" w:hAnsi="Arial" w:cs="Arial"/>
          <w:sz w:val="20"/>
          <w:szCs w:val="20"/>
          <w:lang w:val="en-GB"/>
        </w:rPr>
        <w:t xml:space="preserve">alongside the </w:t>
      </w:r>
      <w:r w:rsidR="00CF110C">
        <w:rPr>
          <w:rFonts w:ascii="Arial" w:hAnsi="Arial" w:cs="Arial"/>
          <w:sz w:val="20"/>
          <w:szCs w:val="20"/>
          <w:lang w:val="en-GB"/>
        </w:rPr>
        <w:t xml:space="preserve">decreasing vitality </w:t>
      </w:r>
      <w:r w:rsidR="00CF110C" w:rsidRPr="001928B1">
        <w:rPr>
          <w:rFonts w:ascii="Arial" w:hAnsi="Arial" w:cs="Arial"/>
          <w:sz w:val="20"/>
          <w:szCs w:val="20"/>
          <w:lang w:val="en-GB"/>
        </w:rPr>
        <w:t>of what was once understood as genuine collective public space</w:t>
      </w:r>
      <w:r w:rsidR="00CF110C">
        <w:rPr>
          <w:rFonts w:ascii="Arial" w:hAnsi="Arial" w:cs="Arial"/>
          <w:sz w:val="20"/>
          <w:szCs w:val="20"/>
          <w:lang w:val="en-GB"/>
        </w:rPr>
        <w:t xml:space="preserve">, show a </w:t>
      </w:r>
      <w:r w:rsidRPr="001928B1">
        <w:rPr>
          <w:rFonts w:ascii="Arial" w:hAnsi="Arial" w:cs="Arial"/>
          <w:sz w:val="20"/>
          <w:szCs w:val="20"/>
          <w:lang w:val="en-GB"/>
        </w:rPr>
        <w:t xml:space="preserve">progressive </w:t>
      </w:r>
      <w:r w:rsidR="00CF110C">
        <w:rPr>
          <w:rFonts w:ascii="Arial" w:hAnsi="Arial" w:cs="Arial"/>
          <w:sz w:val="20"/>
          <w:szCs w:val="20"/>
          <w:lang w:val="en-GB"/>
        </w:rPr>
        <w:t xml:space="preserve">decline and </w:t>
      </w:r>
      <w:r w:rsidRPr="001928B1">
        <w:rPr>
          <w:rFonts w:ascii="Arial" w:hAnsi="Arial" w:cs="Arial"/>
          <w:sz w:val="20"/>
          <w:szCs w:val="20"/>
          <w:lang w:val="en-GB"/>
        </w:rPr>
        <w:t xml:space="preserve">marginalisation of the </w:t>
      </w:r>
      <w:r w:rsidR="007B607A">
        <w:rPr>
          <w:rFonts w:ascii="Arial" w:hAnsi="Arial" w:cs="Arial"/>
          <w:sz w:val="20"/>
          <w:szCs w:val="20"/>
          <w:lang w:val="en-GB"/>
        </w:rPr>
        <w:t xml:space="preserve">traditional urban </w:t>
      </w:r>
      <w:r w:rsidR="00CF110C">
        <w:rPr>
          <w:rFonts w:ascii="Arial" w:hAnsi="Arial" w:cs="Arial"/>
          <w:sz w:val="20"/>
          <w:szCs w:val="20"/>
          <w:lang w:val="en-GB"/>
        </w:rPr>
        <w:t>commons.</w:t>
      </w:r>
      <w:r w:rsidRPr="001928B1">
        <w:rPr>
          <w:rFonts w:ascii="Arial" w:hAnsi="Arial" w:cs="Arial"/>
          <w:sz w:val="20"/>
          <w:szCs w:val="20"/>
          <w:lang w:val="en-GB"/>
        </w:rPr>
        <w:t xml:space="preserve"> This has underpinned the recent development of </w:t>
      </w:r>
      <w:r w:rsidR="006E1D41">
        <w:rPr>
          <w:rFonts w:ascii="Arial" w:hAnsi="Arial" w:cs="Arial"/>
          <w:sz w:val="20"/>
          <w:szCs w:val="20"/>
          <w:lang w:val="en-GB"/>
        </w:rPr>
        <w:t>major</w:t>
      </w:r>
      <w:r w:rsidRPr="001928B1">
        <w:rPr>
          <w:rFonts w:ascii="Arial" w:hAnsi="Arial" w:cs="Arial"/>
          <w:sz w:val="20"/>
          <w:szCs w:val="20"/>
          <w:lang w:val="en-GB"/>
        </w:rPr>
        <w:t xml:space="preserve"> urban clusters</w:t>
      </w:r>
      <w:r w:rsidR="006E1D41">
        <w:rPr>
          <w:rFonts w:ascii="Arial" w:hAnsi="Arial" w:cs="Arial"/>
          <w:sz w:val="20"/>
          <w:szCs w:val="20"/>
          <w:lang w:val="en-GB"/>
        </w:rPr>
        <w:t xml:space="preserve"> of conspicuous consumption as key </w:t>
      </w:r>
      <w:r w:rsidRPr="001928B1">
        <w:rPr>
          <w:rFonts w:ascii="Arial" w:hAnsi="Arial" w:cs="Arial"/>
          <w:sz w:val="20"/>
          <w:szCs w:val="20"/>
          <w:lang w:val="en-GB"/>
        </w:rPr>
        <w:t xml:space="preserve">places for social relationships, characterised by a disconnected and semi-random aggregation of semi-public places. They are </w:t>
      </w:r>
      <w:r w:rsidR="006E1D41">
        <w:rPr>
          <w:rFonts w:ascii="Arial" w:hAnsi="Arial" w:cs="Arial"/>
          <w:sz w:val="20"/>
          <w:szCs w:val="20"/>
          <w:lang w:val="en-GB"/>
        </w:rPr>
        <w:t xml:space="preserve">introverted eventful </w:t>
      </w:r>
      <w:r w:rsidRPr="001928B1">
        <w:rPr>
          <w:rFonts w:ascii="Arial" w:hAnsi="Arial" w:cs="Arial"/>
          <w:sz w:val="20"/>
          <w:szCs w:val="20"/>
          <w:lang w:val="en-GB"/>
        </w:rPr>
        <w:t>landscapes, dominated by the spectacle of enticing consumerist representations</w:t>
      </w:r>
      <w:r w:rsidR="006E1D41">
        <w:rPr>
          <w:rFonts w:ascii="Arial" w:hAnsi="Arial" w:cs="Arial"/>
          <w:sz w:val="20"/>
          <w:szCs w:val="20"/>
          <w:lang w:val="en-GB"/>
        </w:rPr>
        <w:t>. O</w:t>
      </w:r>
      <w:r w:rsidRPr="001928B1">
        <w:rPr>
          <w:rFonts w:ascii="Arial" w:hAnsi="Arial" w:cs="Arial"/>
          <w:sz w:val="20"/>
          <w:szCs w:val="20"/>
          <w:lang w:val="en-GB"/>
        </w:rPr>
        <w:t>ften</w:t>
      </w:r>
      <w:r w:rsidR="006E1D41">
        <w:rPr>
          <w:rFonts w:ascii="Arial" w:hAnsi="Arial" w:cs="Arial"/>
          <w:sz w:val="20"/>
          <w:szCs w:val="20"/>
          <w:lang w:val="en-GB"/>
        </w:rPr>
        <w:t xml:space="preserve">, they are constituted by a single </w:t>
      </w:r>
      <w:r w:rsidRPr="001928B1">
        <w:rPr>
          <w:rFonts w:ascii="Arial" w:hAnsi="Arial" w:cs="Arial"/>
          <w:sz w:val="20"/>
          <w:szCs w:val="20"/>
          <w:lang w:val="en-GB"/>
        </w:rPr>
        <w:t>urban enclosure</w:t>
      </w:r>
      <w:r w:rsidR="006E1D41">
        <w:rPr>
          <w:rFonts w:ascii="Arial" w:hAnsi="Arial" w:cs="Arial"/>
          <w:sz w:val="20"/>
          <w:szCs w:val="20"/>
          <w:lang w:val="en-GB"/>
        </w:rPr>
        <w:t xml:space="preserve"> for </w:t>
      </w:r>
      <w:r w:rsidRPr="001928B1">
        <w:rPr>
          <w:rFonts w:ascii="Arial" w:hAnsi="Arial" w:cs="Arial"/>
          <w:sz w:val="20"/>
          <w:szCs w:val="20"/>
          <w:lang w:val="en-GB"/>
        </w:rPr>
        <w:t>retail and entertainment</w:t>
      </w:r>
      <w:r w:rsidR="006E1D41" w:rsidRPr="001928B1">
        <w:rPr>
          <w:rFonts w:ascii="Arial" w:hAnsi="Arial" w:cs="Arial"/>
          <w:sz w:val="20"/>
          <w:szCs w:val="20"/>
          <w:lang w:val="en-GB"/>
        </w:rPr>
        <w:t xml:space="preserve">: the last generation of </w:t>
      </w:r>
      <w:r w:rsidR="006E1D41">
        <w:rPr>
          <w:rFonts w:ascii="Arial" w:hAnsi="Arial" w:cs="Arial"/>
          <w:sz w:val="20"/>
          <w:szCs w:val="20"/>
          <w:lang w:val="en-GB"/>
        </w:rPr>
        <w:t>integr</w:t>
      </w:r>
      <w:r w:rsidR="006E1D41" w:rsidRPr="001928B1">
        <w:rPr>
          <w:rFonts w:ascii="Arial" w:hAnsi="Arial" w:cs="Arial"/>
          <w:sz w:val="20"/>
          <w:szCs w:val="20"/>
          <w:lang w:val="en-GB"/>
        </w:rPr>
        <w:t>ated shopping centres.</w:t>
      </w:r>
      <w:r w:rsidR="00A17286">
        <w:rPr>
          <w:rFonts w:ascii="Arial" w:hAnsi="Arial" w:cs="Arial"/>
          <w:sz w:val="20"/>
          <w:szCs w:val="20"/>
          <w:lang w:val="en-GB"/>
        </w:rPr>
        <w:t xml:space="preserve"> </w:t>
      </w:r>
    </w:p>
    <w:p w:rsidR="00A16F54" w:rsidRDefault="00EC36FB" w:rsidP="00EC36FB">
      <w:pPr>
        <w:pStyle w:val="NormalWeb"/>
        <w:spacing w:before="0" w:beforeAutospacing="0" w:after="0" w:afterAutospacing="0"/>
        <w:rPr>
          <w:rFonts w:ascii="Arial" w:hAnsi="Arial" w:cs="Arial"/>
          <w:sz w:val="20"/>
          <w:szCs w:val="20"/>
          <w:lang w:val="en-GB"/>
        </w:rPr>
      </w:pPr>
      <w:r w:rsidRPr="001928B1">
        <w:rPr>
          <w:rFonts w:ascii="Arial" w:hAnsi="Arial" w:cs="Arial"/>
          <w:sz w:val="20"/>
          <w:szCs w:val="20"/>
          <w:lang w:val="en-GB"/>
        </w:rPr>
        <w:t>The</w:t>
      </w:r>
      <w:r>
        <w:rPr>
          <w:rFonts w:ascii="Arial" w:hAnsi="Arial" w:cs="Arial"/>
          <w:sz w:val="20"/>
          <w:szCs w:val="20"/>
          <w:lang w:val="en-GB"/>
        </w:rPr>
        <w:t xml:space="preserve"> new</w:t>
      </w:r>
      <w:r w:rsidRPr="001928B1">
        <w:rPr>
          <w:rFonts w:ascii="Arial" w:hAnsi="Arial" w:cs="Arial"/>
          <w:sz w:val="20"/>
          <w:szCs w:val="20"/>
          <w:lang w:val="en-GB"/>
        </w:rPr>
        <w:t xml:space="preserve"> enclosures </w:t>
      </w:r>
      <w:r>
        <w:rPr>
          <w:rFonts w:ascii="Arial" w:hAnsi="Arial" w:cs="Arial"/>
          <w:sz w:val="20"/>
          <w:szCs w:val="20"/>
          <w:lang w:val="en-GB"/>
        </w:rPr>
        <w:t xml:space="preserve">are </w:t>
      </w:r>
      <w:r w:rsidR="00A16F54">
        <w:rPr>
          <w:rFonts w:ascii="Arial" w:hAnsi="Arial" w:cs="Arial"/>
          <w:sz w:val="20"/>
          <w:szCs w:val="20"/>
          <w:lang w:val="en-GB"/>
        </w:rPr>
        <w:t xml:space="preserve">the </w:t>
      </w:r>
      <w:r w:rsidR="00A16F54" w:rsidRPr="001928B1">
        <w:rPr>
          <w:rFonts w:ascii="Arial" w:hAnsi="Arial" w:cs="Arial"/>
          <w:sz w:val="20"/>
          <w:szCs w:val="20"/>
          <w:lang w:val="en-GB"/>
        </w:rPr>
        <w:t xml:space="preserve">places </w:t>
      </w:r>
      <w:r w:rsidR="00A16F54">
        <w:rPr>
          <w:rFonts w:ascii="Arial" w:hAnsi="Arial" w:cs="Arial"/>
          <w:sz w:val="20"/>
          <w:szCs w:val="20"/>
          <w:lang w:val="en-GB"/>
        </w:rPr>
        <w:t xml:space="preserve">that best express the continuous reframing of the spatial and social conditions of our </w:t>
      </w:r>
      <w:r w:rsidR="00A16F54" w:rsidRPr="001928B1">
        <w:rPr>
          <w:rFonts w:ascii="Arial" w:hAnsi="Arial" w:cs="Arial"/>
          <w:sz w:val="20"/>
          <w:szCs w:val="20"/>
          <w:lang w:val="en-GB"/>
        </w:rPr>
        <w:t>po</w:t>
      </w:r>
      <w:r w:rsidR="00A16F54">
        <w:rPr>
          <w:rFonts w:ascii="Arial" w:hAnsi="Arial" w:cs="Arial"/>
          <w:sz w:val="20"/>
          <w:szCs w:val="20"/>
          <w:lang w:val="en-GB"/>
        </w:rPr>
        <w:t xml:space="preserve">st-consumerist, digital age. They are </w:t>
      </w:r>
      <w:r>
        <w:rPr>
          <w:rFonts w:ascii="Arial" w:hAnsi="Arial" w:cs="Arial"/>
          <w:sz w:val="20"/>
          <w:szCs w:val="20"/>
          <w:lang w:val="en-GB"/>
        </w:rPr>
        <w:t xml:space="preserve">all-encompassing, having a networks of facilities </w:t>
      </w:r>
      <w:r w:rsidR="00D37240">
        <w:rPr>
          <w:rFonts w:ascii="Arial" w:hAnsi="Arial" w:cs="Arial"/>
          <w:sz w:val="20"/>
          <w:szCs w:val="20"/>
          <w:lang w:val="en-GB"/>
        </w:rPr>
        <w:t>an</w:t>
      </w:r>
      <w:r w:rsidR="00AA4F7F">
        <w:rPr>
          <w:rFonts w:ascii="Arial" w:hAnsi="Arial" w:cs="Arial"/>
          <w:sz w:val="20"/>
          <w:szCs w:val="20"/>
          <w:lang w:val="en-GB"/>
        </w:rPr>
        <w:t>d</w:t>
      </w:r>
      <w:r w:rsidR="00D37240">
        <w:rPr>
          <w:rFonts w:ascii="Arial" w:hAnsi="Arial" w:cs="Arial"/>
          <w:sz w:val="20"/>
          <w:szCs w:val="20"/>
          <w:lang w:val="en-GB"/>
        </w:rPr>
        <w:t xml:space="preserve"> amenit</w:t>
      </w:r>
      <w:r w:rsidR="00AA4F7F">
        <w:rPr>
          <w:rFonts w:ascii="Arial" w:hAnsi="Arial" w:cs="Arial"/>
          <w:sz w:val="20"/>
          <w:szCs w:val="20"/>
          <w:lang w:val="en-GB"/>
        </w:rPr>
        <w:t>ies</w:t>
      </w:r>
      <w:r>
        <w:rPr>
          <w:rFonts w:ascii="Arial" w:hAnsi="Arial" w:cs="Arial"/>
          <w:sz w:val="20"/>
          <w:szCs w:val="20"/>
          <w:lang w:val="en-GB"/>
        </w:rPr>
        <w:t xml:space="preserve"> that provide most of the goods and services needed in the everyday life of the local residents.</w:t>
      </w:r>
      <w:r w:rsidR="00A16F54">
        <w:rPr>
          <w:rFonts w:ascii="Arial" w:hAnsi="Arial" w:cs="Arial"/>
          <w:sz w:val="20"/>
          <w:szCs w:val="20"/>
          <w:lang w:val="en-GB"/>
        </w:rPr>
        <w:t xml:space="preserve"> In their realms, mixed realities are constantly generated and updated to provide new forms of engaging experiences, radically challenging the </w:t>
      </w:r>
      <w:r w:rsidR="00A16F54" w:rsidRPr="001928B1">
        <w:rPr>
          <w:rFonts w:ascii="Arial" w:hAnsi="Arial" w:cs="Arial"/>
          <w:sz w:val="20"/>
          <w:szCs w:val="20"/>
          <w:lang w:val="en-GB"/>
        </w:rPr>
        <w:t xml:space="preserve">relations between architecture and </w:t>
      </w:r>
      <w:r w:rsidR="00A16F54">
        <w:rPr>
          <w:rFonts w:ascii="Arial" w:hAnsi="Arial" w:cs="Arial"/>
          <w:sz w:val="20"/>
          <w:szCs w:val="20"/>
          <w:lang w:val="en-GB"/>
        </w:rPr>
        <w:t xml:space="preserve">the </w:t>
      </w:r>
      <w:r w:rsidR="00A16F54" w:rsidRPr="00AA4F7F">
        <w:rPr>
          <w:rFonts w:ascii="Arial" w:hAnsi="Arial" w:cs="Arial"/>
          <w:sz w:val="20"/>
          <w:szCs w:val="20"/>
          <w:lang w:val="en-GB"/>
        </w:rPr>
        <w:t>systems of associative life.</w:t>
      </w:r>
      <w:r w:rsidR="00A16F54">
        <w:rPr>
          <w:rFonts w:ascii="Arial" w:hAnsi="Arial" w:cs="Arial"/>
          <w:sz w:val="20"/>
          <w:szCs w:val="20"/>
          <w:lang w:val="en-GB"/>
        </w:rPr>
        <w:t xml:space="preserve"> </w:t>
      </w:r>
      <w:r w:rsidR="00A16F54" w:rsidRPr="001928B1">
        <w:rPr>
          <w:rFonts w:ascii="Arial" w:hAnsi="Arial" w:cs="Arial"/>
          <w:sz w:val="20"/>
          <w:szCs w:val="20"/>
          <w:lang w:val="en-GB"/>
        </w:rPr>
        <w:t xml:space="preserve"> </w:t>
      </w:r>
    </w:p>
    <w:p w:rsidR="00A16F54" w:rsidRDefault="00EC36FB" w:rsidP="004E3932">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 xml:space="preserve">However, notwithstanding their central locations, </w:t>
      </w:r>
      <w:r w:rsidR="00A16F54">
        <w:rPr>
          <w:rFonts w:ascii="Arial" w:hAnsi="Arial" w:cs="Arial"/>
          <w:sz w:val="20"/>
          <w:szCs w:val="20"/>
          <w:lang w:val="en-GB"/>
        </w:rPr>
        <w:t xml:space="preserve">relentless activity and great popularity, </w:t>
      </w:r>
      <w:r>
        <w:rPr>
          <w:rFonts w:ascii="Arial" w:hAnsi="Arial" w:cs="Arial"/>
          <w:sz w:val="20"/>
          <w:szCs w:val="20"/>
          <w:lang w:val="en-GB"/>
        </w:rPr>
        <w:t>the</w:t>
      </w:r>
      <w:r w:rsidR="00A16F54">
        <w:rPr>
          <w:rFonts w:ascii="Arial" w:hAnsi="Arial" w:cs="Arial"/>
          <w:sz w:val="20"/>
          <w:szCs w:val="20"/>
          <w:lang w:val="en-GB"/>
        </w:rPr>
        <w:t xml:space="preserve">ir spatio-social </w:t>
      </w:r>
      <w:r w:rsidR="000B0E78">
        <w:rPr>
          <w:rFonts w:ascii="Arial" w:hAnsi="Arial" w:cs="Arial"/>
          <w:sz w:val="20"/>
          <w:szCs w:val="20"/>
          <w:lang w:val="en-GB"/>
        </w:rPr>
        <w:t xml:space="preserve">environments </w:t>
      </w:r>
      <w:r>
        <w:rPr>
          <w:rFonts w:ascii="Arial" w:hAnsi="Arial" w:cs="Arial"/>
          <w:sz w:val="20"/>
          <w:szCs w:val="20"/>
          <w:lang w:val="en-GB"/>
        </w:rPr>
        <w:t xml:space="preserve">are </w:t>
      </w:r>
      <w:r w:rsidR="000B0E78">
        <w:rPr>
          <w:rFonts w:ascii="Arial" w:hAnsi="Arial" w:cs="Arial"/>
          <w:sz w:val="20"/>
          <w:szCs w:val="20"/>
          <w:lang w:val="en-GB"/>
        </w:rPr>
        <w:t xml:space="preserve">strongly </w:t>
      </w:r>
      <w:r>
        <w:rPr>
          <w:rFonts w:ascii="Arial" w:hAnsi="Arial" w:cs="Arial"/>
          <w:sz w:val="20"/>
          <w:szCs w:val="20"/>
          <w:lang w:val="en-GB"/>
        </w:rPr>
        <w:t xml:space="preserve">disjoined from those </w:t>
      </w:r>
      <w:r w:rsidR="00E93F88">
        <w:rPr>
          <w:rFonts w:ascii="Arial" w:hAnsi="Arial" w:cs="Arial"/>
          <w:sz w:val="20"/>
          <w:szCs w:val="20"/>
          <w:lang w:val="en-GB"/>
        </w:rPr>
        <w:t xml:space="preserve">of their district. Large areas of </w:t>
      </w:r>
      <w:r w:rsidR="00E93F88" w:rsidRPr="001928B1">
        <w:rPr>
          <w:rFonts w:ascii="Arial" w:hAnsi="Arial" w:cs="Arial"/>
          <w:sz w:val="20"/>
          <w:szCs w:val="20"/>
          <w:lang w:val="en-GB"/>
        </w:rPr>
        <w:t>sparsely populated</w:t>
      </w:r>
      <w:r w:rsidR="00E93F88">
        <w:rPr>
          <w:rFonts w:ascii="Arial" w:hAnsi="Arial" w:cs="Arial"/>
          <w:sz w:val="20"/>
          <w:szCs w:val="20"/>
          <w:lang w:val="en-GB"/>
        </w:rPr>
        <w:t xml:space="preserve"> “invaded space” (i.e. public space not devoted to public activities, such as carparks, arterial roads and transit areas) surround them. </w:t>
      </w:r>
      <w:r w:rsidR="000B0E78">
        <w:rPr>
          <w:rFonts w:ascii="Arial" w:hAnsi="Arial" w:cs="Arial"/>
          <w:sz w:val="20"/>
          <w:szCs w:val="20"/>
          <w:lang w:val="en-GB"/>
        </w:rPr>
        <w:t>Precisely these latter spaces, f</w:t>
      </w:r>
      <w:r w:rsidR="00A16F54" w:rsidRPr="001928B1">
        <w:rPr>
          <w:rFonts w:ascii="Arial" w:hAnsi="Arial" w:cs="Arial"/>
          <w:sz w:val="20"/>
          <w:szCs w:val="20"/>
          <w:lang w:val="en-GB"/>
        </w:rPr>
        <w:t xml:space="preserve">or </w:t>
      </w:r>
      <w:r w:rsidR="000B0E78">
        <w:rPr>
          <w:rFonts w:ascii="Arial" w:hAnsi="Arial" w:cs="Arial"/>
          <w:sz w:val="20"/>
          <w:szCs w:val="20"/>
          <w:lang w:val="en-GB"/>
        </w:rPr>
        <w:t xml:space="preserve">their </w:t>
      </w:r>
      <w:r w:rsidR="00A16F54" w:rsidRPr="001928B1">
        <w:rPr>
          <w:rFonts w:ascii="Arial" w:hAnsi="Arial" w:cs="Arial"/>
          <w:sz w:val="20"/>
          <w:szCs w:val="20"/>
          <w:lang w:val="en-GB"/>
        </w:rPr>
        <w:t>extension</w:t>
      </w:r>
      <w:r w:rsidR="000B0E78">
        <w:rPr>
          <w:rFonts w:ascii="Arial" w:hAnsi="Arial" w:cs="Arial"/>
          <w:sz w:val="20"/>
          <w:szCs w:val="20"/>
          <w:lang w:val="en-GB"/>
        </w:rPr>
        <w:t xml:space="preserve">, accessibility and </w:t>
      </w:r>
      <w:r w:rsidR="00A16F54" w:rsidRPr="001928B1">
        <w:rPr>
          <w:rFonts w:ascii="Arial" w:hAnsi="Arial" w:cs="Arial"/>
          <w:sz w:val="20"/>
          <w:szCs w:val="20"/>
          <w:lang w:val="en-GB"/>
        </w:rPr>
        <w:t>connectivity, offer</w:t>
      </w:r>
      <w:r w:rsidR="000B0E78">
        <w:rPr>
          <w:rFonts w:ascii="Arial" w:hAnsi="Arial" w:cs="Arial"/>
          <w:sz w:val="20"/>
          <w:szCs w:val="20"/>
          <w:lang w:val="en-GB"/>
        </w:rPr>
        <w:t xml:space="preserve"> extraordinary </w:t>
      </w:r>
      <w:r w:rsidR="00A16F54" w:rsidRPr="001928B1">
        <w:rPr>
          <w:rFonts w:ascii="Arial" w:hAnsi="Arial" w:cs="Arial"/>
          <w:sz w:val="20"/>
          <w:szCs w:val="20"/>
          <w:lang w:val="en-GB"/>
        </w:rPr>
        <w:t>opportunit</w:t>
      </w:r>
      <w:r w:rsidR="000B0E78">
        <w:rPr>
          <w:rFonts w:ascii="Arial" w:hAnsi="Arial" w:cs="Arial"/>
          <w:sz w:val="20"/>
          <w:szCs w:val="20"/>
          <w:lang w:val="en-GB"/>
        </w:rPr>
        <w:t xml:space="preserve">ies </w:t>
      </w:r>
      <w:r w:rsidR="00A16F54" w:rsidRPr="001928B1">
        <w:rPr>
          <w:rFonts w:ascii="Arial" w:hAnsi="Arial" w:cs="Arial"/>
          <w:sz w:val="20"/>
          <w:szCs w:val="20"/>
          <w:lang w:val="en-GB"/>
        </w:rPr>
        <w:t xml:space="preserve">for the reintroduction </w:t>
      </w:r>
      <w:r w:rsidR="000B0E78">
        <w:rPr>
          <w:rFonts w:ascii="Arial" w:hAnsi="Arial" w:cs="Arial"/>
          <w:sz w:val="20"/>
          <w:szCs w:val="20"/>
          <w:lang w:val="en-GB"/>
        </w:rPr>
        <w:t xml:space="preserve">in the body of the city of </w:t>
      </w:r>
      <w:r w:rsidR="00A16F54" w:rsidRPr="001928B1">
        <w:rPr>
          <w:rFonts w:ascii="Arial" w:hAnsi="Arial" w:cs="Arial"/>
          <w:sz w:val="20"/>
          <w:szCs w:val="20"/>
          <w:lang w:val="en-GB"/>
        </w:rPr>
        <w:t xml:space="preserve">great public places for </w:t>
      </w:r>
      <w:r w:rsidR="00A16F54">
        <w:rPr>
          <w:rFonts w:ascii="Arial" w:hAnsi="Arial" w:cs="Arial"/>
          <w:sz w:val="20"/>
          <w:szCs w:val="20"/>
          <w:lang w:val="en-GB"/>
        </w:rPr>
        <w:t xml:space="preserve">the </w:t>
      </w:r>
      <w:r w:rsidR="00A16F54" w:rsidRPr="001928B1">
        <w:rPr>
          <w:rFonts w:ascii="Arial" w:hAnsi="Arial" w:cs="Arial"/>
          <w:sz w:val="20"/>
          <w:szCs w:val="20"/>
          <w:lang w:val="en-GB"/>
        </w:rPr>
        <w:t xml:space="preserve">“social and cultural well-being of people and their communities” </w:t>
      </w:r>
      <w:r w:rsidR="00A16F54">
        <w:rPr>
          <w:rFonts w:ascii="Arial" w:hAnsi="Arial" w:cs="Arial"/>
          <w:sz w:val="20"/>
          <w:szCs w:val="20"/>
          <w:lang w:val="en-GB"/>
        </w:rPr>
        <w:t>(</w:t>
      </w:r>
      <w:r w:rsidR="00A16F54" w:rsidRPr="001928B1">
        <w:rPr>
          <w:rFonts w:ascii="Arial" w:hAnsi="Arial" w:cs="Arial"/>
          <w:sz w:val="20"/>
          <w:szCs w:val="20"/>
          <w:lang w:val="en-GB"/>
        </w:rPr>
        <w:t>Auckland Plan</w:t>
      </w:r>
      <w:r w:rsidR="00A16F54">
        <w:rPr>
          <w:rFonts w:ascii="Arial" w:hAnsi="Arial" w:cs="Arial"/>
          <w:sz w:val="20"/>
          <w:szCs w:val="20"/>
          <w:lang w:val="en-GB"/>
        </w:rPr>
        <w:t xml:space="preserve">, 2012). </w:t>
      </w:r>
    </w:p>
    <w:p w:rsidR="004E3932" w:rsidRDefault="004E3932" w:rsidP="004E3932">
      <w:pPr>
        <w:pStyle w:val="NormalWeb"/>
        <w:spacing w:before="0" w:beforeAutospacing="0" w:after="0" w:afterAutospacing="0"/>
        <w:rPr>
          <w:rFonts w:ascii="Arial" w:hAnsi="Arial" w:cs="Arial"/>
          <w:sz w:val="20"/>
          <w:szCs w:val="20"/>
          <w:lang w:val="en-GB"/>
        </w:rPr>
      </w:pPr>
    </w:p>
    <w:p w:rsidR="004E3932" w:rsidRDefault="004E3932" w:rsidP="004E3932">
      <w:pPr>
        <w:pStyle w:val="NormalWeb"/>
        <w:spacing w:before="0" w:beforeAutospacing="0" w:after="0" w:afterAutospacing="0"/>
        <w:rPr>
          <w:rFonts w:ascii="Arial" w:hAnsi="Arial" w:cs="Arial"/>
          <w:sz w:val="20"/>
          <w:szCs w:val="20"/>
          <w:lang w:val="en-GB"/>
        </w:rPr>
      </w:pPr>
      <w:r>
        <w:rPr>
          <w:rFonts w:ascii="Arial" w:hAnsi="Arial" w:cs="Arial"/>
          <w:noProof/>
          <w:sz w:val="20"/>
          <w:szCs w:val="20"/>
          <w:lang w:val="en-NZ" w:eastAsia="en-NZ"/>
        </w:rPr>
        <w:drawing>
          <wp:inline distT="0" distB="0" distL="0" distR="0" wp14:anchorId="38D02314" wp14:editId="23DE7C8D">
            <wp:extent cx="6468745" cy="2590800"/>
            <wp:effectExtent l="0" t="0" r="8255" b="0"/>
            <wp:docPr id="7" name="Picture 7" descr="nightlife__january_work_by_solarsouth-d8fyq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ghtlife__january_work_by_solarsouth-d8fyq97"/>
                    <pic:cNvPicPr>
                      <a:picLocks noChangeAspect="1" noChangeArrowheads="1"/>
                    </pic:cNvPicPr>
                  </pic:nvPicPr>
                  <pic:blipFill>
                    <a:blip r:embed="rId8">
                      <a:extLst>
                        <a:ext uri="{28A0092B-C50C-407E-A947-70E740481C1C}">
                          <a14:useLocalDpi xmlns:a14="http://schemas.microsoft.com/office/drawing/2010/main" val="0"/>
                        </a:ext>
                      </a:extLst>
                    </a:blip>
                    <a:srcRect b="9000"/>
                    <a:stretch>
                      <a:fillRect/>
                    </a:stretch>
                  </pic:blipFill>
                  <pic:spPr bwMode="auto">
                    <a:xfrm>
                      <a:off x="0" y="0"/>
                      <a:ext cx="6468745" cy="2590800"/>
                    </a:xfrm>
                    <a:prstGeom prst="rect">
                      <a:avLst/>
                    </a:prstGeom>
                    <a:noFill/>
                    <a:ln>
                      <a:noFill/>
                    </a:ln>
                  </pic:spPr>
                </pic:pic>
              </a:graphicData>
            </a:graphic>
          </wp:inline>
        </w:drawing>
      </w:r>
    </w:p>
    <w:p w:rsidR="004E3932" w:rsidRPr="004E3932" w:rsidRDefault="001526B2" w:rsidP="004E3932">
      <w:pPr>
        <w:pStyle w:val="Caption"/>
        <w:jc w:val="left"/>
        <w:rPr>
          <w:rFonts w:ascii="Times New Roman" w:eastAsia="Times New Roman" w:hAnsi="Times New Roman" w:cs="Arial"/>
          <w:i w:val="0"/>
          <w:iCs w:val="0"/>
          <w:color w:val="auto"/>
          <w:sz w:val="24"/>
          <w:szCs w:val="20"/>
          <w:lang w:val="en-GB"/>
        </w:rPr>
      </w:pPr>
      <w:r w:rsidRPr="001526B2">
        <w:rPr>
          <w:color w:val="auto"/>
          <w:sz w:val="16"/>
        </w:rPr>
        <w:t xml:space="preserve">Wadim Kashin - </w:t>
      </w:r>
      <w:r w:rsidR="004E3932" w:rsidRPr="004E3932">
        <w:rPr>
          <w:color w:val="auto"/>
          <w:sz w:val="16"/>
        </w:rPr>
        <w:t>SolarSouth</w:t>
      </w:r>
      <w:r w:rsidR="004E3932">
        <w:rPr>
          <w:color w:val="auto"/>
          <w:sz w:val="16"/>
        </w:rPr>
        <w:t>,</w:t>
      </w:r>
      <w:r w:rsidR="004E3932" w:rsidRPr="004E3932">
        <w:rPr>
          <w:color w:val="auto"/>
          <w:sz w:val="16"/>
        </w:rPr>
        <w:t xml:space="preserve"> Night Life</w:t>
      </w:r>
      <w:r>
        <w:rPr>
          <w:color w:val="auto"/>
          <w:sz w:val="16"/>
        </w:rPr>
        <w:t>, 2014</w:t>
      </w:r>
    </w:p>
    <w:p w:rsidR="00AA4F7F" w:rsidRDefault="00C52353" w:rsidP="004E3932">
      <w:pPr>
        <w:pStyle w:val="Heading2"/>
        <w:rPr>
          <w:lang w:val="en-GB"/>
        </w:rPr>
      </w:pPr>
      <w:r w:rsidRPr="00C52353">
        <w:t>3</w:t>
      </w:r>
      <w:r w:rsidR="000B0E78" w:rsidRPr="00C52353">
        <w:t xml:space="preserve">.2     </w:t>
      </w:r>
      <w:r w:rsidR="002C6534">
        <w:t xml:space="preserve">The context of the design proposition: a node of the urban network </w:t>
      </w:r>
    </w:p>
    <w:p w:rsidR="002C6534" w:rsidRDefault="007850BB" w:rsidP="00A866DA">
      <w:pPr>
        <w:pStyle w:val="NormalWeb"/>
        <w:spacing w:before="0" w:beforeAutospacing="0" w:after="0" w:afterAutospacing="0"/>
        <w:ind w:firstLine="454"/>
        <w:rPr>
          <w:rFonts w:ascii="Arial" w:hAnsi="Arial" w:cs="Arial"/>
          <w:sz w:val="20"/>
          <w:szCs w:val="20"/>
          <w:lang w:val="en-GB"/>
        </w:rPr>
      </w:pPr>
      <w:r>
        <w:rPr>
          <w:rFonts w:ascii="Arial" w:hAnsi="Arial" w:cs="Arial"/>
          <w:sz w:val="20"/>
          <w:szCs w:val="20"/>
          <w:lang w:val="en-GB"/>
        </w:rPr>
        <w:t xml:space="preserve">Auckland is experiencing a </w:t>
      </w:r>
      <w:r w:rsidRPr="001928B1">
        <w:rPr>
          <w:rFonts w:ascii="Arial" w:hAnsi="Arial" w:cs="Arial"/>
          <w:sz w:val="20"/>
          <w:szCs w:val="20"/>
          <w:lang w:val="en-GB"/>
        </w:rPr>
        <w:t xml:space="preserve">rapid expansion and </w:t>
      </w:r>
      <w:r>
        <w:rPr>
          <w:rFonts w:ascii="Arial" w:hAnsi="Arial" w:cs="Arial"/>
          <w:sz w:val="20"/>
          <w:szCs w:val="20"/>
          <w:lang w:val="en-GB"/>
        </w:rPr>
        <w:t>strong “return to the centre”</w:t>
      </w:r>
      <w:r w:rsidR="00AA4F7F">
        <w:rPr>
          <w:rFonts w:ascii="Arial" w:hAnsi="Arial" w:cs="Arial"/>
          <w:sz w:val="20"/>
          <w:szCs w:val="20"/>
          <w:lang w:val="en-GB"/>
        </w:rPr>
        <w:t xml:space="preserve"> </w:t>
      </w:r>
      <w:r>
        <w:rPr>
          <w:rFonts w:ascii="Arial" w:hAnsi="Arial" w:cs="Arial"/>
          <w:sz w:val="20"/>
          <w:szCs w:val="20"/>
          <w:lang w:val="en-GB"/>
        </w:rPr>
        <w:t>that is reflected in the great effort</w:t>
      </w:r>
      <w:r w:rsidR="00AA4F7F">
        <w:rPr>
          <w:rFonts w:ascii="Arial" w:hAnsi="Arial" w:cs="Arial"/>
          <w:sz w:val="20"/>
          <w:szCs w:val="20"/>
          <w:lang w:val="en-GB"/>
        </w:rPr>
        <w:t xml:space="preserve"> of the local government </w:t>
      </w:r>
      <w:r>
        <w:rPr>
          <w:rFonts w:ascii="Arial" w:hAnsi="Arial" w:cs="Arial"/>
          <w:sz w:val="20"/>
          <w:szCs w:val="20"/>
          <w:lang w:val="en-GB"/>
        </w:rPr>
        <w:t>to produce high-quality public spaces and efficient public transport and cycling infrastructure. I</w:t>
      </w:r>
      <w:r w:rsidRPr="001928B1">
        <w:rPr>
          <w:rFonts w:ascii="Arial" w:hAnsi="Arial" w:cs="Arial"/>
          <w:sz w:val="20"/>
          <w:szCs w:val="20"/>
          <w:lang w:val="en-GB"/>
        </w:rPr>
        <w:t xml:space="preserve">ts development, framed in the </w:t>
      </w:r>
      <w:r w:rsidR="00005591">
        <w:rPr>
          <w:rFonts w:ascii="Arial" w:hAnsi="Arial" w:cs="Arial"/>
          <w:sz w:val="20"/>
          <w:szCs w:val="20"/>
          <w:lang w:val="en-GB"/>
        </w:rPr>
        <w:t xml:space="preserve">polycentric </w:t>
      </w:r>
      <w:r w:rsidRPr="001928B1">
        <w:rPr>
          <w:rFonts w:ascii="Arial" w:hAnsi="Arial" w:cs="Arial"/>
          <w:sz w:val="20"/>
          <w:szCs w:val="20"/>
          <w:lang w:val="en-GB"/>
        </w:rPr>
        <w:t>compact city model, is</w:t>
      </w:r>
      <w:r w:rsidR="00005591">
        <w:rPr>
          <w:rFonts w:ascii="Arial" w:hAnsi="Arial" w:cs="Arial"/>
          <w:sz w:val="20"/>
          <w:szCs w:val="20"/>
          <w:lang w:val="en-GB"/>
        </w:rPr>
        <w:t xml:space="preserve"> based on the intensification of few selected metropolitan centres. </w:t>
      </w:r>
      <w:r w:rsidR="00AA4F7F">
        <w:rPr>
          <w:rFonts w:ascii="Arial" w:hAnsi="Arial" w:cs="Arial"/>
          <w:sz w:val="20"/>
          <w:szCs w:val="20"/>
          <w:lang w:val="en-GB"/>
        </w:rPr>
        <w:t xml:space="preserve">These include </w:t>
      </w:r>
      <w:r w:rsidR="00005591">
        <w:rPr>
          <w:rFonts w:ascii="Arial" w:hAnsi="Arial" w:cs="Arial"/>
          <w:sz w:val="20"/>
          <w:szCs w:val="20"/>
          <w:lang w:val="en-GB"/>
        </w:rPr>
        <w:t>t</w:t>
      </w:r>
      <w:r>
        <w:rPr>
          <w:rFonts w:ascii="Arial" w:hAnsi="Arial" w:cs="Arial"/>
          <w:sz w:val="20"/>
          <w:szCs w:val="20"/>
          <w:lang w:val="en-GB"/>
        </w:rPr>
        <w:t xml:space="preserve">hree </w:t>
      </w:r>
      <w:r w:rsidR="00005591">
        <w:rPr>
          <w:rFonts w:ascii="Arial" w:hAnsi="Arial" w:cs="Arial"/>
          <w:sz w:val="20"/>
          <w:szCs w:val="20"/>
          <w:lang w:val="en-GB"/>
        </w:rPr>
        <w:t xml:space="preserve">major </w:t>
      </w:r>
      <w:r>
        <w:rPr>
          <w:rFonts w:ascii="Arial" w:hAnsi="Arial" w:cs="Arial"/>
          <w:sz w:val="20"/>
          <w:szCs w:val="20"/>
          <w:lang w:val="en-GB"/>
        </w:rPr>
        <w:t>Emerging Metropolitan Centres</w:t>
      </w:r>
      <w:r w:rsidR="00AA4F7F">
        <w:rPr>
          <w:rFonts w:ascii="Arial" w:hAnsi="Arial" w:cs="Arial"/>
          <w:sz w:val="20"/>
          <w:szCs w:val="20"/>
          <w:lang w:val="en-GB"/>
        </w:rPr>
        <w:t xml:space="preserve"> </w:t>
      </w:r>
      <w:r>
        <w:rPr>
          <w:rFonts w:ascii="Arial" w:hAnsi="Arial" w:cs="Arial"/>
          <w:sz w:val="20"/>
          <w:szCs w:val="20"/>
          <w:lang w:val="en-GB"/>
        </w:rPr>
        <w:t>located at the Northern (Albany), North Western</w:t>
      </w:r>
      <w:r w:rsidRPr="00A93C70">
        <w:rPr>
          <w:rFonts w:ascii="Arial" w:hAnsi="Arial" w:cs="Arial"/>
          <w:sz w:val="20"/>
          <w:szCs w:val="20"/>
          <w:lang w:val="en-GB"/>
        </w:rPr>
        <w:t xml:space="preserve"> </w:t>
      </w:r>
      <w:r>
        <w:rPr>
          <w:rFonts w:ascii="Arial" w:hAnsi="Arial" w:cs="Arial"/>
          <w:sz w:val="20"/>
          <w:szCs w:val="20"/>
          <w:lang w:val="en-GB"/>
        </w:rPr>
        <w:t>(Westgate), and Southern (Sylvia Park) quadrants of the urban area</w:t>
      </w:r>
      <w:r w:rsidR="00AA4F7F">
        <w:rPr>
          <w:rFonts w:ascii="Arial" w:hAnsi="Arial" w:cs="Arial"/>
          <w:sz w:val="20"/>
          <w:szCs w:val="20"/>
          <w:lang w:val="en-GB"/>
        </w:rPr>
        <w:t xml:space="preserve">, which </w:t>
      </w:r>
      <w:r w:rsidR="00005591">
        <w:rPr>
          <w:rFonts w:ascii="Arial" w:hAnsi="Arial" w:cs="Arial"/>
          <w:sz w:val="20"/>
          <w:szCs w:val="20"/>
          <w:lang w:val="en-GB"/>
        </w:rPr>
        <w:t xml:space="preserve">all </w:t>
      </w:r>
      <w:r>
        <w:rPr>
          <w:rFonts w:ascii="Arial" w:hAnsi="Arial" w:cs="Arial"/>
          <w:sz w:val="20"/>
          <w:szCs w:val="20"/>
          <w:lang w:val="en-GB"/>
        </w:rPr>
        <w:t xml:space="preserve">have major enclosure of shopping and entertainment at their core. </w:t>
      </w:r>
    </w:p>
    <w:p w:rsidR="002C6534" w:rsidRDefault="00D07EA3" w:rsidP="00A866DA">
      <w:pPr>
        <w:pStyle w:val="NormalWeb"/>
        <w:spacing w:before="0" w:beforeAutospacing="0" w:after="0" w:afterAutospacing="0"/>
        <w:ind w:firstLine="454"/>
        <w:rPr>
          <w:rFonts w:ascii="Arial" w:hAnsi="Arial" w:cs="Arial"/>
          <w:sz w:val="20"/>
          <w:szCs w:val="20"/>
          <w:lang w:val="en-GB"/>
        </w:rPr>
      </w:pPr>
      <w:r w:rsidRPr="001928B1">
        <w:rPr>
          <w:rFonts w:ascii="Arial" w:hAnsi="Arial" w:cs="Arial"/>
          <w:sz w:val="20"/>
          <w:szCs w:val="20"/>
          <w:lang w:val="en-GB"/>
        </w:rPr>
        <w:t xml:space="preserve">For </w:t>
      </w:r>
      <w:r>
        <w:rPr>
          <w:rFonts w:ascii="Arial" w:hAnsi="Arial" w:cs="Arial"/>
          <w:sz w:val="20"/>
          <w:szCs w:val="20"/>
          <w:lang w:val="en-GB"/>
        </w:rPr>
        <w:t xml:space="preserve">their </w:t>
      </w:r>
      <w:r w:rsidRPr="001928B1">
        <w:rPr>
          <w:rFonts w:ascii="Arial" w:hAnsi="Arial" w:cs="Arial"/>
          <w:sz w:val="20"/>
          <w:szCs w:val="20"/>
          <w:lang w:val="en-GB"/>
        </w:rPr>
        <w:t xml:space="preserve">position and </w:t>
      </w:r>
      <w:r>
        <w:rPr>
          <w:rFonts w:ascii="Arial" w:hAnsi="Arial" w:cs="Arial"/>
          <w:sz w:val="20"/>
          <w:szCs w:val="20"/>
          <w:lang w:val="en-GB"/>
        </w:rPr>
        <w:t xml:space="preserve">vocation, these centres </w:t>
      </w:r>
      <w:r w:rsidR="00AA4F7F">
        <w:rPr>
          <w:rFonts w:ascii="Arial" w:hAnsi="Arial" w:cs="Arial"/>
          <w:sz w:val="20"/>
          <w:szCs w:val="20"/>
          <w:lang w:val="en-GB"/>
        </w:rPr>
        <w:t>constitute</w:t>
      </w:r>
      <w:r w:rsidRPr="001928B1">
        <w:rPr>
          <w:rFonts w:ascii="Arial" w:hAnsi="Arial" w:cs="Arial"/>
          <w:sz w:val="20"/>
          <w:szCs w:val="20"/>
          <w:lang w:val="en-GB"/>
        </w:rPr>
        <w:t xml:space="preserve"> ideal </w:t>
      </w:r>
      <w:r w:rsidR="00AA4F7F">
        <w:rPr>
          <w:rFonts w:ascii="Arial" w:hAnsi="Arial" w:cs="Arial"/>
          <w:sz w:val="20"/>
          <w:szCs w:val="20"/>
          <w:lang w:val="en-GB"/>
        </w:rPr>
        <w:t>experimentation laboratories</w:t>
      </w:r>
      <w:r w:rsidR="002C6534">
        <w:rPr>
          <w:rFonts w:ascii="Arial" w:hAnsi="Arial" w:cs="Arial"/>
          <w:sz w:val="20"/>
          <w:szCs w:val="20"/>
          <w:lang w:val="en-GB"/>
        </w:rPr>
        <w:t>, where</w:t>
      </w:r>
      <w:r w:rsidR="002C6534" w:rsidRPr="002C6534">
        <w:rPr>
          <w:rFonts w:ascii="Arial" w:hAnsi="Arial" w:cs="Arial"/>
          <w:sz w:val="20"/>
          <w:szCs w:val="20"/>
          <w:lang w:val="en-GB"/>
        </w:rPr>
        <w:t xml:space="preserve"> </w:t>
      </w:r>
      <w:r w:rsidR="002C6534" w:rsidRPr="001928B1">
        <w:rPr>
          <w:rFonts w:ascii="Arial" w:hAnsi="Arial" w:cs="Arial"/>
          <w:sz w:val="20"/>
          <w:szCs w:val="20"/>
          <w:lang w:val="en-GB"/>
        </w:rPr>
        <w:t>architectur</w:t>
      </w:r>
      <w:r w:rsidR="002C6534">
        <w:rPr>
          <w:rFonts w:ascii="Arial" w:hAnsi="Arial" w:cs="Arial"/>
          <w:sz w:val="20"/>
          <w:szCs w:val="20"/>
          <w:lang w:val="en-GB"/>
        </w:rPr>
        <w:t>e</w:t>
      </w:r>
      <w:r w:rsidR="002C6534" w:rsidRPr="001928B1">
        <w:rPr>
          <w:rFonts w:ascii="Arial" w:hAnsi="Arial" w:cs="Arial"/>
          <w:sz w:val="20"/>
          <w:szCs w:val="20"/>
          <w:lang w:val="en-GB"/>
        </w:rPr>
        <w:t xml:space="preserve"> and urban design </w:t>
      </w:r>
      <w:r w:rsidR="002C6534">
        <w:rPr>
          <w:rFonts w:ascii="Arial" w:hAnsi="Arial" w:cs="Arial"/>
          <w:sz w:val="20"/>
          <w:szCs w:val="20"/>
          <w:lang w:val="en-GB"/>
        </w:rPr>
        <w:t>can effectively r</w:t>
      </w:r>
      <w:r w:rsidR="002C6534" w:rsidRPr="001928B1">
        <w:rPr>
          <w:rFonts w:ascii="Arial" w:hAnsi="Arial" w:cs="Arial"/>
          <w:sz w:val="20"/>
          <w:szCs w:val="20"/>
          <w:lang w:val="en-GB"/>
        </w:rPr>
        <w:t xml:space="preserve">e-assemble the </w:t>
      </w:r>
      <w:r w:rsidR="002C6534">
        <w:rPr>
          <w:rFonts w:ascii="Arial" w:hAnsi="Arial" w:cs="Arial"/>
          <w:sz w:val="20"/>
          <w:szCs w:val="20"/>
          <w:lang w:val="en-GB"/>
        </w:rPr>
        <w:t>city.</w:t>
      </w:r>
      <w:r w:rsidR="002C6534" w:rsidRPr="002C6534">
        <w:rPr>
          <w:rFonts w:ascii="Arial" w:hAnsi="Arial" w:cs="Arial"/>
          <w:sz w:val="20"/>
          <w:szCs w:val="20"/>
          <w:lang w:val="en-GB"/>
        </w:rPr>
        <w:t xml:space="preserve"> </w:t>
      </w:r>
      <w:r w:rsidR="002C6534">
        <w:rPr>
          <w:rFonts w:ascii="Arial" w:hAnsi="Arial" w:cs="Arial"/>
          <w:sz w:val="20"/>
          <w:szCs w:val="20"/>
          <w:lang w:val="en-GB"/>
        </w:rPr>
        <w:t xml:space="preserve">Students are free to decide whether any of them can be selected as location for their architectural proposition, however hyper-suburban, highly-unfinished or over-infrastructured areas are recommended. </w:t>
      </w:r>
    </w:p>
    <w:p w:rsidR="00F307B6" w:rsidRPr="00C52353" w:rsidRDefault="00D37240" w:rsidP="00C52353">
      <w:pPr>
        <w:pStyle w:val="Heading2"/>
      </w:pPr>
      <w:r>
        <w:t>3.</w:t>
      </w:r>
      <w:r w:rsidR="004D7900">
        <w:t xml:space="preserve"> </w:t>
      </w:r>
      <w:r>
        <w:t xml:space="preserve">3     </w:t>
      </w:r>
      <w:r w:rsidR="008D3B4A">
        <w:t>The d</w:t>
      </w:r>
      <w:r>
        <w:t>esign</w:t>
      </w:r>
      <w:r w:rsidR="00F307B6" w:rsidRPr="00C52353">
        <w:t xml:space="preserve"> brief: an infrastructure for </w:t>
      </w:r>
      <w:r w:rsidR="008D3B4A">
        <w:t>PLAY</w:t>
      </w:r>
      <w:r w:rsidR="00F307B6" w:rsidRPr="00C52353">
        <w:t xml:space="preserve"> </w:t>
      </w:r>
    </w:p>
    <w:p w:rsidR="009276C6" w:rsidRDefault="009276C6" w:rsidP="009276C6">
      <w:pPr>
        <w:pStyle w:val="NormalWeb"/>
        <w:spacing w:before="0" w:beforeAutospacing="0" w:after="0" w:afterAutospacing="0"/>
        <w:rPr>
          <w:rFonts w:ascii="Arial" w:hAnsi="Arial" w:cs="Arial"/>
          <w:sz w:val="20"/>
          <w:szCs w:val="20"/>
          <w:lang w:val="en-GB"/>
        </w:rPr>
      </w:pPr>
      <w:r w:rsidRPr="004D3560">
        <w:rPr>
          <w:rFonts w:ascii="Arial" w:hAnsi="Arial" w:cs="Arial"/>
          <w:sz w:val="20"/>
          <w:szCs w:val="20"/>
          <w:lang w:val="en-GB"/>
        </w:rPr>
        <w:t>Throughout this course</w:t>
      </w:r>
      <w:r>
        <w:rPr>
          <w:rFonts w:ascii="Arial" w:hAnsi="Arial" w:cs="Arial"/>
          <w:sz w:val="20"/>
          <w:szCs w:val="20"/>
          <w:lang w:val="en-GB"/>
        </w:rPr>
        <w:t>,</w:t>
      </w:r>
      <w:r w:rsidRPr="004D3560">
        <w:rPr>
          <w:rFonts w:ascii="Arial" w:hAnsi="Arial" w:cs="Arial"/>
          <w:sz w:val="20"/>
          <w:szCs w:val="20"/>
          <w:lang w:val="en-GB"/>
        </w:rPr>
        <w:t xml:space="preserve"> </w:t>
      </w:r>
      <w:r>
        <w:rPr>
          <w:rFonts w:ascii="Arial" w:hAnsi="Arial" w:cs="Arial"/>
          <w:sz w:val="20"/>
          <w:szCs w:val="20"/>
          <w:lang w:val="en-GB"/>
        </w:rPr>
        <w:t>students</w:t>
      </w:r>
      <w:r w:rsidRPr="004D3560">
        <w:rPr>
          <w:rFonts w:ascii="Arial" w:hAnsi="Arial" w:cs="Arial"/>
          <w:sz w:val="20"/>
          <w:szCs w:val="20"/>
          <w:lang w:val="en-GB"/>
        </w:rPr>
        <w:t xml:space="preserve"> will develop </w:t>
      </w:r>
      <w:r>
        <w:rPr>
          <w:rFonts w:ascii="Arial" w:hAnsi="Arial" w:cs="Arial"/>
          <w:sz w:val="20"/>
          <w:szCs w:val="20"/>
          <w:lang w:val="en-GB"/>
        </w:rPr>
        <w:t>projects for a new kind of architecture: an infrastructure that interprets their own meaning of PLAY. PLAY</w:t>
      </w:r>
      <w:r w:rsidRPr="00F307B6">
        <w:rPr>
          <w:rFonts w:ascii="Arial" w:hAnsi="Arial" w:cs="Arial"/>
          <w:sz w:val="20"/>
          <w:szCs w:val="20"/>
          <w:lang w:val="en-GB"/>
        </w:rPr>
        <w:t xml:space="preserve"> </w:t>
      </w:r>
      <w:r>
        <w:rPr>
          <w:rFonts w:ascii="Arial" w:hAnsi="Arial" w:cs="Arial"/>
          <w:sz w:val="20"/>
          <w:szCs w:val="20"/>
          <w:lang w:val="en-GB"/>
        </w:rPr>
        <w:t xml:space="preserve">will be explored using </w:t>
      </w:r>
      <w:r w:rsidRPr="00F307B6">
        <w:rPr>
          <w:rFonts w:ascii="Arial" w:hAnsi="Arial" w:cs="Arial"/>
          <w:sz w:val="20"/>
          <w:szCs w:val="20"/>
          <w:lang w:val="en-GB"/>
        </w:rPr>
        <w:t xml:space="preserve">architecture </w:t>
      </w:r>
      <w:r>
        <w:rPr>
          <w:rFonts w:ascii="Arial" w:hAnsi="Arial" w:cs="Arial"/>
          <w:sz w:val="20"/>
          <w:szCs w:val="20"/>
          <w:lang w:val="en-GB"/>
        </w:rPr>
        <w:t xml:space="preserve">to interpret its </w:t>
      </w:r>
      <w:r w:rsidRPr="00F307B6">
        <w:rPr>
          <w:rFonts w:ascii="Arial" w:hAnsi="Arial" w:cs="Arial"/>
          <w:sz w:val="20"/>
          <w:szCs w:val="20"/>
          <w:lang w:val="en-GB"/>
        </w:rPr>
        <w:t xml:space="preserve">influence on </w:t>
      </w:r>
      <w:r>
        <w:rPr>
          <w:rFonts w:ascii="Arial" w:hAnsi="Arial" w:cs="Arial"/>
          <w:sz w:val="20"/>
          <w:szCs w:val="20"/>
          <w:lang w:val="en-GB"/>
        </w:rPr>
        <w:t xml:space="preserve">relational, behavioural, perceptive public life. Research will produce speculative design propositions for an infrastructure to be built at the core of the new metropolitan centres to promote active life and public engagement. Design propositions will be developed elaborating a vision for the new public realm and considering </w:t>
      </w:r>
      <w:r w:rsidRPr="00F307B6">
        <w:rPr>
          <w:rFonts w:ascii="Arial" w:hAnsi="Arial" w:cs="Arial"/>
          <w:sz w:val="20"/>
          <w:szCs w:val="20"/>
          <w:lang w:val="en-GB"/>
        </w:rPr>
        <w:t>programmatic, typological</w:t>
      </w:r>
      <w:r>
        <w:rPr>
          <w:rFonts w:ascii="Arial" w:hAnsi="Arial" w:cs="Arial"/>
          <w:sz w:val="20"/>
          <w:szCs w:val="20"/>
          <w:lang w:val="en-GB"/>
        </w:rPr>
        <w:t xml:space="preserve"> and </w:t>
      </w:r>
      <w:r w:rsidRPr="00F307B6">
        <w:rPr>
          <w:rFonts w:ascii="Arial" w:hAnsi="Arial" w:cs="Arial"/>
          <w:sz w:val="20"/>
          <w:szCs w:val="20"/>
          <w:lang w:val="en-GB"/>
        </w:rPr>
        <w:t>phenomenological</w:t>
      </w:r>
      <w:r>
        <w:rPr>
          <w:rFonts w:ascii="Arial" w:hAnsi="Arial" w:cs="Arial"/>
          <w:sz w:val="20"/>
          <w:szCs w:val="20"/>
          <w:lang w:val="en-GB"/>
        </w:rPr>
        <w:t xml:space="preserve"> aspects in relation to the chosen site. </w:t>
      </w:r>
    </w:p>
    <w:p w:rsidR="009276C6" w:rsidRDefault="009276C6" w:rsidP="009276C6">
      <w:pPr>
        <w:pStyle w:val="NormalWeb"/>
        <w:spacing w:before="0" w:beforeAutospacing="0" w:after="0" w:afterAutospacing="0"/>
        <w:rPr>
          <w:rFonts w:ascii="Arial" w:hAnsi="Arial" w:cs="Arial"/>
          <w:sz w:val="20"/>
          <w:szCs w:val="20"/>
          <w:lang w:val="en-GB"/>
        </w:rPr>
      </w:pPr>
      <w:r>
        <w:rPr>
          <w:rFonts w:ascii="Arial" w:hAnsi="Arial" w:cs="Arial"/>
          <w:sz w:val="20"/>
          <w:szCs w:val="20"/>
          <w:lang w:val="en-GB"/>
        </w:rPr>
        <w:t>The exploration will engage with new spatialities, geared with the newest information technologies that prioritise the encounter with others and the sharing of experiences in environments that are not generated to obtain economic profit.</w:t>
      </w:r>
      <w:r w:rsidRPr="00F11AB2">
        <w:rPr>
          <w:rFonts w:ascii="Arial" w:hAnsi="Arial" w:cs="Arial"/>
          <w:sz w:val="20"/>
          <w:szCs w:val="20"/>
          <w:lang w:val="en-GB"/>
        </w:rPr>
        <w:t xml:space="preserve"> </w:t>
      </w:r>
      <w:r>
        <w:rPr>
          <w:rFonts w:ascii="Arial" w:hAnsi="Arial" w:cs="Arial"/>
          <w:sz w:val="20"/>
          <w:szCs w:val="20"/>
          <w:lang w:val="en-GB"/>
        </w:rPr>
        <w:t xml:space="preserve">To define the way these decommodified public space infrastructures will bring back PLAY in public life in its </w:t>
      </w:r>
      <w:r w:rsidRPr="00F307B6">
        <w:rPr>
          <w:rFonts w:ascii="Arial" w:hAnsi="Arial" w:cs="Arial"/>
          <w:sz w:val="20"/>
          <w:szCs w:val="20"/>
          <w:lang w:val="en-GB"/>
        </w:rPr>
        <w:t>wide</w:t>
      </w:r>
      <w:r>
        <w:rPr>
          <w:rFonts w:ascii="Arial" w:hAnsi="Arial" w:cs="Arial"/>
          <w:sz w:val="20"/>
          <w:szCs w:val="20"/>
          <w:lang w:val="en-GB"/>
        </w:rPr>
        <w:t>st</w:t>
      </w:r>
      <w:r w:rsidRPr="00F307B6">
        <w:rPr>
          <w:rFonts w:ascii="Arial" w:hAnsi="Arial" w:cs="Arial"/>
          <w:sz w:val="20"/>
          <w:szCs w:val="20"/>
          <w:lang w:val="en-GB"/>
        </w:rPr>
        <w:t xml:space="preserve"> interpretation</w:t>
      </w:r>
      <w:r>
        <w:rPr>
          <w:rFonts w:ascii="Arial" w:hAnsi="Arial" w:cs="Arial"/>
          <w:sz w:val="20"/>
          <w:szCs w:val="20"/>
          <w:lang w:val="en-GB"/>
        </w:rPr>
        <w:t>, students will choose one of the followings PLAY infrastructure programme:</w:t>
      </w:r>
    </w:p>
    <w:p w:rsidR="009276C6" w:rsidRDefault="009276C6" w:rsidP="009276C6">
      <w:pPr>
        <w:pStyle w:val="NormalWeb"/>
        <w:spacing w:before="0" w:beforeAutospacing="0" w:after="0" w:afterAutospacing="0"/>
        <w:rPr>
          <w:rFonts w:ascii="Arial" w:hAnsi="Arial" w:cs="Arial"/>
          <w:b/>
          <w:sz w:val="20"/>
          <w:szCs w:val="20"/>
          <w:lang w:val="en-GB"/>
        </w:rPr>
      </w:pPr>
    </w:p>
    <w:p w:rsidR="009276C6" w:rsidRDefault="009276C6" w:rsidP="009276C6">
      <w:pPr>
        <w:pStyle w:val="NormalWeb"/>
        <w:spacing w:before="0" w:beforeAutospacing="0" w:after="0" w:afterAutospacing="0"/>
        <w:rPr>
          <w:rFonts w:ascii="Arial" w:hAnsi="Arial" w:cs="Arial"/>
          <w:sz w:val="20"/>
          <w:szCs w:val="20"/>
          <w:lang w:val="en-GB"/>
        </w:rPr>
      </w:pPr>
      <w:r>
        <w:rPr>
          <w:rFonts w:ascii="Arial" w:hAnsi="Arial" w:cs="Arial"/>
          <w:b/>
          <w:sz w:val="20"/>
          <w:szCs w:val="20"/>
          <w:lang w:val="en-GB"/>
        </w:rPr>
        <w:t xml:space="preserve">PLAY AS </w:t>
      </w:r>
      <w:r w:rsidRPr="00414E77">
        <w:rPr>
          <w:rFonts w:ascii="Arial" w:hAnsi="Arial" w:cs="Arial"/>
          <w:b/>
          <w:sz w:val="20"/>
          <w:szCs w:val="20"/>
          <w:lang w:val="en-GB"/>
        </w:rPr>
        <w:t>C</w:t>
      </w:r>
      <w:r>
        <w:rPr>
          <w:rFonts w:ascii="Arial" w:hAnsi="Arial" w:cs="Arial"/>
          <w:b/>
          <w:sz w:val="20"/>
          <w:szCs w:val="20"/>
          <w:lang w:val="en-GB"/>
        </w:rPr>
        <w:t>REATIVE</w:t>
      </w:r>
      <w:r w:rsidRPr="00414E77">
        <w:rPr>
          <w:rFonts w:ascii="Arial" w:hAnsi="Arial" w:cs="Arial"/>
          <w:b/>
          <w:sz w:val="20"/>
          <w:szCs w:val="20"/>
          <w:lang w:val="en-GB"/>
        </w:rPr>
        <w:t xml:space="preserve"> </w:t>
      </w:r>
      <w:r w:rsidRPr="00DC7E15">
        <w:rPr>
          <w:rFonts w:ascii="Arial" w:hAnsi="Arial" w:cs="Arial"/>
          <w:b/>
          <w:sz w:val="20"/>
          <w:szCs w:val="20"/>
          <w:lang w:val="en-GB"/>
        </w:rPr>
        <w:t>GAM</w:t>
      </w:r>
      <w:r>
        <w:rPr>
          <w:rFonts w:ascii="Arial" w:hAnsi="Arial" w:cs="Arial"/>
          <w:b/>
          <w:sz w:val="20"/>
          <w:szCs w:val="20"/>
          <w:lang w:val="en-GB"/>
        </w:rPr>
        <w:t xml:space="preserve">ING: </w:t>
      </w:r>
      <w:r>
        <w:rPr>
          <w:rFonts w:ascii="Arial" w:hAnsi="Arial" w:cs="Arial"/>
          <w:sz w:val="20"/>
          <w:szCs w:val="20"/>
          <w:lang w:val="en-GB"/>
        </w:rPr>
        <w:t>i</w:t>
      </w:r>
      <w:r w:rsidRPr="00F307B6">
        <w:rPr>
          <w:rFonts w:ascii="Arial" w:hAnsi="Arial" w:cs="Arial"/>
          <w:sz w:val="20"/>
          <w:szCs w:val="20"/>
          <w:lang w:val="en-GB"/>
        </w:rPr>
        <w:t>nteracti</w:t>
      </w:r>
      <w:r>
        <w:rPr>
          <w:rFonts w:ascii="Arial" w:hAnsi="Arial" w:cs="Arial"/>
          <w:sz w:val="20"/>
          <w:szCs w:val="20"/>
          <w:lang w:val="en-GB"/>
        </w:rPr>
        <w:t xml:space="preserve">ve engagement </w:t>
      </w:r>
      <w:r w:rsidRPr="00F307B6">
        <w:rPr>
          <w:rFonts w:ascii="Arial" w:hAnsi="Arial" w:cs="Arial"/>
          <w:sz w:val="20"/>
          <w:szCs w:val="20"/>
          <w:lang w:val="en-GB"/>
        </w:rPr>
        <w:t xml:space="preserve">between multiple </w:t>
      </w:r>
      <w:r>
        <w:rPr>
          <w:rFonts w:ascii="Arial" w:hAnsi="Arial" w:cs="Arial"/>
          <w:sz w:val="20"/>
          <w:szCs w:val="20"/>
          <w:lang w:val="en-GB"/>
        </w:rPr>
        <w:t xml:space="preserve">near and remote </w:t>
      </w:r>
      <w:r w:rsidRPr="00F307B6">
        <w:rPr>
          <w:rFonts w:ascii="Arial" w:hAnsi="Arial" w:cs="Arial"/>
          <w:sz w:val="20"/>
          <w:szCs w:val="20"/>
          <w:lang w:val="en-GB"/>
        </w:rPr>
        <w:t>subjects for entertainment</w:t>
      </w:r>
      <w:r>
        <w:rPr>
          <w:rFonts w:ascii="Arial" w:hAnsi="Arial" w:cs="Arial"/>
          <w:sz w:val="20"/>
          <w:szCs w:val="20"/>
          <w:lang w:val="en-GB"/>
        </w:rPr>
        <w:t xml:space="preserve"> and fun for the production of original ludic and imaginative spatialities. </w:t>
      </w:r>
      <w:r w:rsidRPr="00414E77">
        <w:rPr>
          <w:rFonts w:ascii="Arial" w:hAnsi="Arial" w:cs="Arial"/>
          <w:sz w:val="20"/>
          <w:szCs w:val="20"/>
          <w:lang w:val="en-GB"/>
        </w:rPr>
        <w:t xml:space="preserve">Augmented Reality games (e.g. </w:t>
      </w:r>
      <w:r w:rsidRPr="00414E77">
        <w:rPr>
          <w:rFonts w:ascii="Arial" w:hAnsi="Arial" w:cs="Arial"/>
          <w:i/>
          <w:sz w:val="20"/>
          <w:szCs w:val="20"/>
          <w:lang w:val="en-GB"/>
        </w:rPr>
        <w:t>Pokemon Go</w:t>
      </w:r>
      <w:r>
        <w:rPr>
          <w:rFonts w:ascii="Arial" w:hAnsi="Arial" w:cs="Arial"/>
          <w:sz w:val="20"/>
          <w:szCs w:val="20"/>
          <w:lang w:val="en-GB"/>
        </w:rPr>
        <w:t xml:space="preserve"> and </w:t>
      </w:r>
      <w:r w:rsidRPr="00414E77">
        <w:rPr>
          <w:rFonts w:ascii="Arial" w:hAnsi="Arial"/>
          <w:i/>
          <w:sz w:val="20"/>
          <w:szCs w:val="20"/>
          <w:lang w:val="en-GB"/>
        </w:rPr>
        <w:t>Batman Arkham VR</w:t>
      </w:r>
      <w:r>
        <w:rPr>
          <w:rFonts w:ascii="Arial" w:hAnsi="Arial"/>
          <w:sz w:val="20"/>
          <w:szCs w:val="20"/>
          <w:lang w:val="en-GB"/>
        </w:rPr>
        <w:t>)</w:t>
      </w:r>
      <w:r>
        <w:rPr>
          <w:rFonts w:ascii="Arial" w:hAnsi="Arial" w:cs="Arial"/>
          <w:sz w:val="20"/>
          <w:szCs w:val="20"/>
          <w:lang w:val="en-GB"/>
        </w:rPr>
        <w:t xml:space="preserve"> and immersive virtual/mixed reality sport environments (e.g. </w:t>
      </w:r>
      <w:r w:rsidRPr="00414E77">
        <w:rPr>
          <w:rFonts w:ascii="Arial" w:hAnsi="Arial" w:cs="Arial"/>
          <w:i/>
          <w:sz w:val="20"/>
          <w:szCs w:val="20"/>
          <w:lang w:val="en-GB"/>
        </w:rPr>
        <w:t>Laser Tag</w:t>
      </w:r>
      <w:r>
        <w:rPr>
          <w:rFonts w:ascii="Arial" w:hAnsi="Arial" w:cs="Arial"/>
          <w:sz w:val="20"/>
          <w:szCs w:val="20"/>
          <w:lang w:val="en-GB"/>
        </w:rPr>
        <w:t xml:space="preserve"> and </w:t>
      </w:r>
      <w:r w:rsidRPr="00414E77">
        <w:rPr>
          <w:rFonts w:ascii="Arial" w:hAnsi="Arial" w:cs="Arial"/>
          <w:i/>
          <w:sz w:val="20"/>
          <w:szCs w:val="20"/>
          <w:lang w:val="en-GB"/>
        </w:rPr>
        <w:t>Paintball</w:t>
      </w:r>
      <w:r>
        <w:rPr>
          <w:rFonts w:ascii="Arial" w:hAnsi="Arial" w:cs="Arial"/>
          <w:sz w:val="20"/>
          <w:szCs w:val="20"/>
          <w:lang w:val="en-GB"/>
        </w:rPr>
        <w:t xml:space="preserve">) as well as traditional </w:t>
      </w:r>
      <w:r w:rsidRPr="00C9265B">
        <w:rPr>
          <w:rFonts w:ascii="Arial" w:hAnsi="Arial" w:cs="Arial"/>
          <w:sz w:val="20"/>
          <w:szCs w:val="20"/>
          <w:lang w:val="en-GB"/>
        </w:rPr>
        <w:t xml:space="preserve">toy blocks </w:t>
      </w:r>
      <w:r>
        <w:rPr>
          <w:rFonts w:ascii="Arial" w:hAnsi="Arial" w:cs="Arial"/>
          <w:sz w:val="20"/>
          <w:szCs w:val="20"/>
          <w:lang w:val="en-GB"/>
        </w:rPr>
        <w:t xml:space="preserve">games </w:t>
      </w:r>
      <w:r w:rsidRPr="00C9265B">
        <w:rPr>
          <w:rFonts w:ascii="Arial" w:hAnsi="Arial" w:cs="Arial"/>
          <w:sz w:val="20"/>
          <w:szCs w:val="20"/>
          <w:lang w:val="en-GB"/>
        </w:rPr>
        <w:t xml:space="preserve">(as </w:t>
      </w:r>
      <w:r>
        <w:rPr>
          <w:rFonts w:ascii="Arial" w:hAnsi="Arial" w:cs="Arial"/>
          <w:sz w:val="20"/>
          <w:szCs w:val="20"/>
          <w:lang w:val="en-GB"/>
        </w:rPr>
        <w:t>the ones used by</w:t>
      </w:r>
      <w:r w:rsidRPr="00C9265B">
        <w:rPr>
          <w:rFonts w:ascii="Arial" w:hAnsi="Arial" w:cs="Arial"/>
          <w:sz w:val="20"/>
          <w:szCs w:val="20"/>
          <w:lang w:val="en-GB"/>
        </w:rPr>
        <w:t xml:space="preserve"> Frank Lloyd Wright</w:t>
      </w:r>
      <w:r>
        <w:rPr>
          <w:rFonts w:ascii="Arial" w:hAnsi="Arial" w:cs="Arial"/>
          <w:sz w:val="20"/>
          <w:szCs w:val="20"/>
          <w:lang w:val="en-GB"/>
        </w:rPr>
        <w:t xml:space="preserve"> and Walter Gropius</w:t>
      </w:r>
      <w:r w:rsidRPr="00C9265B">
        <w:rPr>
          <w:rFonts w:ascii="Arial" w:hAnsi="Arial" w:cs="Arial"/>
          <w:sz w:val="20"/>
          <w:szCs w:val="20"/>
          <w:lang w:val="en-GB"/>
        </w:rPr>
        <w:t>) or the</w:t>
      </w:r>
      <w:r>
        <w:rPr>
          <w:rFonts w:ascii="Arial" w:hAnsi="Arial" w:cs="Arial"/>
          <w:sz w:val="20"/>
          <w:szCs w:val="20"/>
          <w:lang w:val="en-GB"/>
        </w:rPr>
        <w:t>ir</w:t>
      </w:r>
      <w:r w:rsidRPr="00C9265B">
        <w:rPr>
          <w:rFonts w:ascii="Arial" w:hAnsi="Arial" w:cs="Arial"/>
          <w:sz w:val="20"/>
          <w:szCs w:val="20"/>
          <w:lang w:val="en-GB"/>
        </w:rPr>
        <w:t xml:space="preserve"> modern adaptations (such as </w:t>
      </w:r>
      <w:r w:rsidRPr="00414E77">
        <w:rPr>
          <w:rFonts w:ascii="Arial" w:hAnsi="Arial" w:cs="Arial"/>
          <w:i/>
          <w:sz w:val="20"/>
          <w:szCs w:val="20"/>
          <w:lang w:val="en-GB"/>
        </w:rPr>
        <w:t>Minecraft</w:t>
      </w:r>
      <w:r w:rsidRPr="00C9265B">
        <w:rPr>
          <w:rFonts w:ascii="Arial" w:hAnsi="Arial" w:cs="Arial"/>
          <w:sz w:val="20"/>
          <w:szCs w:val="20"/>
          <w:lang w:val="en-GB"/>
        </w:rPr>
        <w:t>)</w:t>
      </w:r>
      <w:r w:rsidRPr="00414E77">
        <w:rPr>
          <w:rFonts w:ascii="Arial" w:hAnsi="Arial" w:cs="Arial"/>
          <w:sz w:val="20"/>
          <w:szCs w:val="20"/>
          <w:lang w:val="en-GB"/>
        </w:rPr>
        <w:t xml:space="preserve"> </w:t>
      </w:r>
      <w:r>
        <w:rPr>
          <w:rFonts w:ascii="Arial" w:hAnsi="Arial" w:cs="Arial"/>
          <w:sz w:val="20"/>
          <w:szCs w:val="20"/>
          <w:lang w:val="en-GB"/>
        </w:rPr>
        <w:t>can contribute to set methods to generate evolutionary forms.</w:t>
      </w:r>
    </w:p>
    <w:p w:rsidR="009276C6" w:rsidRDefault="009276C6" w:rsidP="009276C6">
      <w:pPr>
        <w:pStyle w:val="NormalWeb"/>
        <w:spacing w:before="0" w:beforeAutospacing="0" w:after="0" w:afterAutospacing="0"/>
        <w:rPr>
          <w:rFonts w:ascii="Arial" w:hAnsi="Arial" w:cs="Arial"/>
          <w:sz w:val="20"/>
          <w:szCs w:val="20"/>
          <w:lang w:val="en-GB"/>
        </w:rPr>
      </w:pPr>
    </w:p>
    <w:p w:rsidR="009276C6" w:rsidRDefault="009276C6" w:rsidP="009276C6">
      <w:pPr>
        <w:pStyle w:val="NormalWeb"/>
        <w:spacing w:before="0" w:beforeAutospacing="0" w:after="0" w:afterAutospacing="0"/>
        <w:rPr>
          <w:rFonts w:ascii="Arial" w:hAnsi="Arial" w:cs="Arial"/>
          <w:sz w:val="20"/>
          <w:szCs w:val="20"/>
          <w:lang w:val="en-GB"/>
        </w:rPr>
      </w:pPr>
      <w:r>
        <w:rPr>
          <w:rFonts w:ascii="Arial" w:hAnsi="Arial" w:cs="Arial"/>
          <w:b/>
          <w:sz w:val="20"/>
          <w:szCs w:val="20"/>
          <w:lang w:val="en-GB"/>
        </w:rPr>
        <w:t xml:space="preserve">PLAY AS </w:t>
      </w:r>
      <w:r w:rsidRPr="00414E77">
        <w:rPr>
          <w:rFonts w:ascii="Arial" w:hAnsi="Arial" w:cs="Arial"/>
          <w:b/>
          <w:sz w:val="20"/>
          <w:szCs w:val="20"/>
          <w:lang w:val="en-GB"/>
        </w:rPr>
        <w:t xml:space="preserve">EVENTFUL </w:t>
      </w:r>
      <w:r>
        <w:rPr>
          <w:rFonts w:ascii="Arial" w:hAnsi="Arial" w:cs="Arial"/>
          <w:b/>
          <w:sz w:val="20"/>
          <w:szCs w:val="20"/>
          <w:lang w:val="en-GB"/>
        </w:rPr>
        <w:t>PERFORMANCE:</w:t>
      </w:r>
      <w:r w:rsidRPr="00DC7E15">
        <w:rPr>
          <w:rFonts w:ascii="Arial" w:hAnsi="Arial" w:cs="Arial"/>
          <w:sz w:val="20"/>
          <w:szCs w:val="20"/>
          <w:lang w:val="en-GB"/>
        </w:rPr>
        <w:t xml:space="preserve"> </w:t>
      </w:r>
      <w:r>
        <w:rPr>
          <w:rFonts w:ascii="Arial" w:hAnsi="Arial" w:cs="Arial"/>
          <w:sz w:val="20"/>
          <w:szCs w:val="20"/>
          <w:lang w:val="en-GB"/>
        </w:rPr>
        <w:t xml:space="preserve">authored communicative action presented in front of participating audience for the production of representational spatialities. Spectator participation in performances such as outdoor concerts (e.g. </w:t>
      </w:r>
      <w:r w:rsidRPr="00041433">
        <w:rPr>
          <w:rFonts w:ascii="Arial" w:hAnsi="Arial" w:cs="Arial"/>
          <w:sz w:val="20"/>
          <w:szCs w:val="20"/>
          <w:lang w:val="en-GB"/>
        </w:rPr>
        <w:t>Es Devlin</w:t>
      </w:r>
      <w:r>
        <w:rPr>
          <w:rFonts w:ascii="Arial" w:hAnsi="Arial" w:cs="Arial"/>
          <w:sz w:val="20"/>
          <w:szCs w:val="20"/>
          <w:lang w:val="en-GB"/>
        </w:rPr>
        <w:t xml:space="preserve">’s hanging Kanye West set), political theatres (e.g. Berthold Brecht </w:t>
      </w:r>
      <w:r w:rsidRPr="00414E77">
        <w:rPr>
          <w:rFonts w:ascii="Arial" w:hAnsi="Arial" w:cs="Arial"/>
          <w:i/>
          <w:sz w:val="20"/>
          <w:szCs w:val="20"/>
          <w:lang w:val="en-GB"/>
        </w:rPr>
        <w:t>epic theatre</w:t>
      </w:r>
      <w:r>
        <w:rPr>
          <w:rFonts w:ascii="Arial" w:hAnsi="Arial" w:cs="Arial"/>
          <w:sz w:val="20"/>
          <w:szCs w:val="20"/>
          <w:lang w:val="en-GB"/>
        </w:rPr>
        <w:t>) street events (e.g. block parties ad flash mobs) can instigate can co-creative spatial production.</w:t>
      </w:r>
    </w:p>
    <w:p w:rsidR="009276C6" w:rsidRDefault="009276C6" w:rsidP="009276C6">
      <w:pPr>
        <w:pStyle w:val="NormalWeb"/>
        <w:spacing w:before="0" w:beforeAutospacing="0" w:after="0" w:afterAutospacing="0"/>
        <w:rPr>
          <w:rFonts w:ascii="Arial" w:hAnsi="Arial" w:cs="Arial"/>
          <w:sz w:val="20"/>
          <w:szCs w:val="20"/>
          <w:lang w:val="en-GB"/>
        </w:rPr>
      </w:pPr>
    </w:p>
    <w:p w:rsidR="009276C6" w:rsidRDefault="009276C6" w:rsidP="009276C6">
      <w:pPr>
        <w:pStyle w:val="NormalWeb"/>
        <w:spacing w:before="0" w:beforeAutospacing="0" w:after="0" w:afterAutospacing="0"/>
        <w:rPr>
          <w:rFonts w:ascii="Arial" w:hAnsi="Arial" w:cs="Arial"/>
          <w:sz w:val="20"/>
          <w:szCs w:val="20"/>
          <w:lang w:val="en-GB"/>
        </w:rPr>
      </w:pPr>
      <w:r>
        <w:rPr>
          <w:rFonts w:ascii="Arial" w:hAnsi="Arial" w:cs="Arial"/>
          <w:b/>
          <w:sz w:val="20"/>
          <w:szCs w:val="20"/>
          <w:lang w:val="en-GB"/>
        </w:rPr>
        <w:t xml:space="preserve">PLAY AS SUBVERSIVE OR AGOINISTIC ACTIVITY: </w:t>
      </w:r>
      <w:r>
        <w:rPr>
          <w:rFonts w:ascii="Arial" w:hAnsi="Arial" w:cs="Arial"/>
          <w:sz w:val="20"/>
          <w:szCs w:val="20"/>
          <w:lang w:val="en-GB"/>
        </w:rPr>
        <w:t>spontaneous, audacious, competitive or undirected journey, transforming movement in surprising, enchanting, unexpected or provoking engagement. (Re)creative infrastructure for skating, h</w:t>
      </w:r>
      <w:r w:rsidRPr="00414E77">
        <w:rPr>
          <w:rFonts w:ascii="Arial" w:hAnsi="Arial" w:cs="Arial"/>
          <w:sz w:val="20"/>
          <w:szCs w:val="20"/>
          <w:lang w:val="en-GB"/>
        </w:rPr>
        <w:t xml:space="preserve">igh-wire </w:t>
      </w:r>
      <w:r>
        <w:rPr>
          <w:rFonts w:ascii="Arial" w:hAnsi="Arial" w:cs="Arial"/>
          <w:sz w:val="20"/>
          <w:szCs w:val="20"/>
          <w:lang w:val="en-GB"/>
        </w:rPr>
        <w:t xml:space="preserve">sliding or jumping and travelling on roller coasters as well as protesting, demonstrating, graffiti making and </w:t>
      </w:r>
      <w:r w:rsidRPr="00414E77">
        <w:rPr>
          <w:rFonts w:ascii="Arial" w:hAnsi="Arial" w:cs="Arial"/>
          <w:sz w:val="20"/>
          <w:szCs w:val="20"/>
          <w:lang w:val="en-GB"/>
        </w:rPr>
        <w:t>aimless strolling (</w:t>
      </w:r>
      <w:r w:rsidRPr="009276C6">
        <w:rPr>
          <w:rFonts w:ascii="Arial" w:hAnsi="Arial" w:cs="Arial"/>
          <w:i/>
          <w:sz w:val="20"/>
          <w:szCs w:val="20"/>
          <w:lang w:val="en-GB"/>
        </w:rPr>
        <w:t>dérive</w:t>
      </w:r>
      <w:r>
        <w:rPr>
          <w:rFonts w:ascii="Arial" w:hAnsi="Arial" w:cs="Arial"/>
          <w:sz w:val="20"/>
          <w:szCs w:val="20"/>
          <w:lang w:val="en-GB"/>
        </w:rPr>
        <w:t xml:space="preserve">) can support the formation of political, </w:t>
      </w:r>
      <w:r w:rsidRPr="00041433">
        <w:rPr>
          <w:rFonts w:ascii="Arial" w:hAnsi="Arial" w:cs="Arial"/>
          <w:sz w:val="20"/>
          <w:szCs w:val="20"/>
          <w:lang w:val="en-GB"/>
        </w:rPr>
        <w:t xml:space="preserve">insurgent or “unplanned” </w:t>
      </w:r>
      <w:r>
        <w:rPr>
          <w:rFonts w:ascii="Arial" w:hAnsi="Arial" w:cs="Arial"/>
          <w:sz w:val="20"/>
          <w:szCs w:val="20"/>
          <w:lang w:val="en-GB"/>
        </w:rPr>
        <w:t>spatialities.</w:t>
      </w:r>
    </w:p>
    <w:p w:rsidR="009276C6" w:rsidRDefault="009276C6" w:rsidP="00A866DA">
      <w:pPr>
        <w:pStyle w:val="NormalWeb"/>
        <w:spacing w:before="0" w:beforeAutospacing="0" w:after="0" w:afterAutospacing="0"/>
        <w:ind w:firstLine="454"/>
        <w:rPr>
          <w:rFonts w:ascii="Arial" w:hAnsi="Arial" w:cs="Arial"/>
          <w:sz w:val="20"/>
          <w:szCs w:val="20"/>
          <w:lang w:val="en-GB"/>
        </w:rPr>
      </w:pPr>
    </w:p>
    <w:p w:rsidR="00920EBB" w:rsidRPr="00A866DA" w:rsidRDefault="00920EBB" w:rsidP="00920EBB">
      <w:pPr>
        <w:pStyle w:val="NormalWeb"/>
        <w:spacing w:before="0" w:beforeAutospacing="0" w:after="0" w:afterAutospacing="0"/>
        <w:ind w:left="426"/>
        <w:rPr>
          <w:rFonts w:ascii="Arial" w:hAnsi="Arial" w:cs="Arial"/>
          <w:sz w:val="20"/>
          <w:szCs w:val="20"/>
          <w:lang w:val="en-GB"/>
        </w:rPr>
      </w:pPr>
    </w:p>
    <w:p w:rsidR="00920EBB" w:rsidRDefault="00920EBB" w:rsidP="00920EBB">
      <w:pPr>
        <w:pStyle w:val="NormalWeb"/>
        <w:spacing w:before="0" w:beforeAutospacing="0" w:after="0" w:afterAutospacing="0"/>
        <w:rPr>
          <w:rFonts w:ascii="Arial" w:hAnsi="Arial" w:cs="Arial"/>
          <w:sz w:val="20"/>
          <w:szCs w:val="20"/>
          <w:lang w:val="en-GB"/>
        </w:rPr>
      </w:pPr>
      <w:r>
        <w:rPr>
          <w:noProof/>
          <w:lang w:val="en-NZ" w:eastAsia="en-NZ"/>
        </w:rPr>
        <w:drawing>
          <wp:inline distT="0" distB="0" distL="0" distR="0" wp14:anchorId="11A7B5DE" wp14:editId="69F8BD3E">
            <wp:extent cx="6447626"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_Aerial-View-of-the-Park-copy.jpg"/>
                    <pic:cNvPicPr/>
                  </pic:nvPicPr>
                  <pic:blipFill rotWithShape="1">
                    <a:blip r:embed="rId9"/>
                    <a:srcRect l="2039" t="3201" r="1579" b="2467"/>
                    <a:stretch/>
                  </pic:blipFill>
                  <pic:spPr bwMode="auto">
                    <a:xfrm>
                      <a:off x="0" y="0"/>
                      <a:ext cx="6452662" cy="2630953"/>
                    </a:xfrm>
                    <a:prstGeom prst="rect">
                      <a:avLst/>
                    </a:prstGeom>
                    <a:ln>
                      <a:noFill/>
                    </a:ln>
                    <a:extLst>
                      <a:ext uri="{53640926-AAD7-44D8-BBD7-CCE9431645EC}">
                        <a14:shadowObscured xmlns:a14="http://schemas.microsoft.com/office/drawing/2010/main"/>
                      </a:ext>
                    </a:extLst>
                  </pic:spPr>
                </pic:pic>
              </a:graphicData>
            </a:graphic>
          </wp:inline>
        </w:drawing>
      </w:r>
    </w:p>
    <w:p w:rsidR="00395865" w:rsidRPr="00920EBB" w:rsidRDefault="001526B2" w:rsidP="00920EBB">
      <w:pPr>
        <w:pStyle w:val="Caption"/>
        <w:jc w:val="left"/>
        <w:rPr>
          <w:color w:val="auto"/>
          <w:sz w:val="16"/>
          <w:lang w:val="en-GB"/>
        </w:rPr>
      </w:pPr>
      <w:r w:rsidRPr="004E3932">
        <w:rPr>
          <w:color w:val="auto"/>
          <w:sz w:val="16"/>
        </w:rPr>
        <w:t>Julien Nolin</w:t>
      </w:r>
      <w:r>
        <w:rPr>
          <w:color w:val="auto"/>
          <w:sz w:val="16"/>
        </w:rPr>
        <w:t>,</w:t>
      </w:r>
      <w:r w:rsidRPr="004E3932">
        <w:rPr>
          <w:color w:val="auto"/>
          <w:sz w:val="16"/>
        </w:rPr>
        <w:t xml:space="preserve"> </w:t>
      </w:r>
      <w:r w:rsidR="00920EBB" w:rsidRPr="004E3932">
        <w:rPr>
          <w:color w:val="auto"/>
          <w:sz w:val="16"/>
        </w:rPr>
        <w:t>Amazonia Pier</w:t>
      </w:r>
      <w:r>
        <w:rPr>
          <w:color w:val="auto"/>
          <w:sz w:val="16"/>
        </w:rPr>
        <w:t>, 2016</w:t>
      </w:r>
      <w:r w:rsidR="00920EBB" w:rsidRPr="004E3932">
        <w:rPr>
          <w:color w:val="auto"/>
          <w:sz w:val="16"/>
        </w:rPr>
        <w:t xml:space="preserve"> </w:t>
      </w:r>
    </w:p>
    <w:p w:rsidR="002E28E3" w:rsidRDefault="000E27D1" w:rsidP="004E3932">
      <w:r>
        <w:t>4.0</w:t>
      </w:r>
      <w:r>
        <w:tab/>
      </w:r>
      <w:r w:rsidR="002E28E3">
        <w:t>TEACHING AIMS</w:t>
      </w:r>
    </w:p>
    <w:p w:rsidR="002E28E3" w:rsidRDefault="002E28E3" w:rsidP="002E28E3">
      <w:r>
        <w:t>The aims of this course are to:</w:t>
      </w:r>
    </w:p>
    <w:p w:rsidR="0087788A" w:rsidRPr="002D1EBB" w:rsidRDefault="0087788A" w:rsidP="0087788A">
      <w:pPr>
        <w:pStyle w:val="Footer"/>
        <w:rPr>
          <w:rFonts w:cs="Arial"/>
          <w:szCs w:val="20"/>
        </w:rPr>
      </w:pPr>
      <w:r w:rsidRPr="00B84357">
        <w:rPr>
          <w:rFonts w:cs="Arial"/>
        </w:rPr>
        <w:t>Design 5 presents</w:t>
      </w:r>
      <w:r w:rsidRPr="002D1EBB">
        <w:rPr>
          <w:rFonts w:cs="Arial"/>
          <w:i/>
        </w:rPr>
        <w:t xml:space="preserve"> a</w:t>
      </w:r>
      <w:r w:rsidRPr="002D1EBB">
        <w:rPr>
          <w:rFonts w:cs="Arial"/>
          <w:szCs w:val="20"/>
        </w:rPr>
        <w:t>n introduction to complex</w:t>
      </w:r>
      <w:r>
        <w:rPr>
          <w:rFonts w:cs="Arial"/>
          <w:szCs w:val="20"/>
        </w:rPr>
        <w:t xml:space="preserve"> </w:t>
      </w:r>
      <w:r w:rsidRPr="002D1EBB">
        <w:rPr>
          <w:rFonts w:cs="Arial"/>
          <w:szCs w:val="20"/>
        </w:rPr>
        <w:t xml:space="preserve">architectural thinking. It examines both conceptual and exceptional spaces and </w:t>
      </w:r>
      <w:r>
        <w:rPr>
          <w:rFonts w:cs="Arial"/>
          <w:szCs w:val="20"/>
        </w:rPr>
        <w:t>develops an understanding of</w:t>
      </w:r>
      <w:r w:rsidRPr="002D1EBB">
        <w:rPr>
          <w:rFonts w:cs="Arial"/>
          <w:szCs w:val="20"/>
        </w:rPr>
        <w:t xml:space="preserve"> corresponding architectural </w:t>
      </w:r>
      <w:r>
        <w:rPr>
          <w:rFonts w:cs="Arial"/>
          <w:szCs w:val="20"/>
        </w:rPr>
        <w:t xml:space="preserve">methodologies and </w:t>
      </w:r>
      <w:r w:rsidRPr="002D1EBB">
        <w:rPr>
          <w:rFonts w:cs="Arial"/>
          <w:szCs w:val="20"/>
        </w:rPr>
        <w:t xml:space="preserve">systems. </w:t>
      </w:r>
      <w:r>
        <w:rPr>
          <w:rFonts w:cs="Arial"/>
          <w:szCs w:val="20"/>
        </w:rPr>
        <w:t>T</w:t>
      </w:r>
      <w:r w:rsidRPr="002D1EBB">
        <w:rPr>
          <w:rFonts w:cs="Arial"/>
          <w:szCs w:val="20"/>
        </w:rPr>
        <w:t>opics will explore the cutting edge of architecture</w:t>
      </w:r>
      <w:r>
        <w:rPr>
          <w:rFonts w:cs="Arial"/>
          <w:szCs w:val="20"/>
        </w:rPr>
        <w:t>,</w:t>
      </w:r>
      <w:r w:rsidRPr="002D1EBB">
        <w:rPr>
          <w:rFonts w:cs="Arial"/>
          <w:szCs w:val="20"/>
        </w:rPr>
        <w:t xml:space="preserve"> with an individual emphasis on</w:t>
      </w:r>
      <w:r>
        <w:rPr>
          <w:rFonts w:cs="Arial"/>
          <w:szCs w:val="20"/>
        </w:rPr>
        <w:t xml:space="preserve"> the theoretical</w:t>
      </w:r>
      <w:r w:rsidRPr="002D1EBB">
        <w:rPr>
          <w:rFonts w:cs="Arial"/>
          <w:szCs w:val="20"/>
        </w:rPr>
        <w:t>, context</w:t>
      </w:r>
      <w:r>
        <w:rPr>
          <w:rFonts w:cs="Arial"/>
          <w:szCs w:val="20"/>
        </w:rPr>
        <w:t>ual</w:t>
      </w:r>
      <w:r w:rsidRPr="002D1EBB">
        <w:rPr>
          <w:rFonts w:cs="Arial"/>
          <w:szCs w:val="20"/>
        </w:rPr>
        <w:t xml:space="preserve">, </w:t>
      </w:r>
      <w:r>
        <w:rPr>
          <w:rFonts w:cs="Arial"/>
          <w:szCs w:val="20"/>
        </w:rPr>
        <w:t>architectonic, communicative, material, spatial, sociological</w:t>
      </w:r>
      <w:r w:rsidRPr="002D1EBB">
        <w:rPr>
          <w:rFonts w:cs="Arial"/>
          <w:szCs w:val="20"/>
        </w:rPr>
        <w:t xml:space="preserve"> or</w:t>
      </w:r>
      <w:r w:rsidRPr="002D1EBB">
        <w:rPr>
          <w:rStyle w:val="apple-converted-space"/>
          <w:rFonts w:cs="Arial"/>
          <w:szCs w:val="20"/>
        </w:rPr>
        <w:t> </w:t>
      </w:r>
      <w:r>
        <w:rPr>
          <w:rFonts w:cs="Arial"/>
          <w:szCs w:val="20"/>
        </w:rPr>
        <w:t>topographical.</w:t>
      </w:r>
    </w:p>
    <w:p w:rsidR="002E28E3" w:rsidRDefault="002E28E3" w:rsidP="002E28E3"/>
    <w:p w:rsidR="002E28E3" w:rsidRDefault="000E27D1" w:rsidP="002E28E3">
      <w:pPr>
        <w:pStyle w:val="Heading2"/>
      </w:pPr>
      <w:r>
        <w:t>5.0</w:t>
      </w:r>
      <w:r>
        <w:tab/>
      </w:r>
      <w:r w:rsidR="002E28E3">
        <w:t>LEARNING OUTCOMES</w:t>
      </w:r>
    </w:p>
    <w:p w:rsidR="0087788A" w:rsidRPr="00A564B6" w:rsidRDefault="0087788A" w:rsidP="0087788A">
      <w:pPr>
        <w:pStyle w:val="Footer"/>
        <w:rPr>
          <w:rFonts w:cs="Arial"/>
          <w:b/>
          <w:szCs w:val="20"/>
        </w:rPr>
      </w:pPr>
      <w:r>
        <w:rPr>
          <w:rFonts w:cs="Arial"/>
          <w:b/>
          <w:szCs w:val="20"/>
        </w:rPr>
        <w:t>General ARCHDES300 C</w:t>
      </w:r>
      <w:r w:rsidRPr="00A564B6">
        <w:rPr>
          <w:rFonts w:cs="Arial"/>
          <w:b/>
          <w:szCs w:val="20"/>
        </w:rPr>
        <w:t xml:space="preserve">ourse </w:t>
      </w:r>
      <w:r>
        <w:rPr>
          <w:rFonts w:cs="Arial"/>
          <w:b/>
          <w:szCs w:val="20"/>
        </w:rPr>
        <w:t>Outcomes</w:t>
      </w:r>
    </w:p>
    <w:p w:rsidR="0087788A" w:rsidRPr="004824C6" w:rsidRDefault="0087788A" w:rsidP="0087788A">
      <w:pPr>
        <w:pStyle w:val="Footer"/>
        <w:ind w:left="426" w:hanging="426"/>
        <w:rPr>
          <w:rFonts w:cs="Arial"/>
          <w:szCs w:val="20"/>
        </w:rPr>
      </w:pPr>
      <w:r>
        <w:rPr>
          <w:rFonts w:cs="Arial"/>
          <w:szCs w:val="20"/>
        </w:rPr>
        <w:t>O</w:t>
      </w:r>
      <w:r w:rsidRPr="004824C6">
        <w:rPr>
          <w:rFonts w:cs="Arial"/>
          <w:szCs w:val="20"/>
        </w:rPr>
        <w:t xml:space="preserve">n </w:t>
      </w:r>
      <w:r>
        <w:rPr>
          <w:rFonts w:cs="Arial"/>
          <w:szCs w:val="20"/>
        </w:rPr>
        <w:t xml:space="preserve">successful </w:t>
      </w:r>
      <w:r w:rsidRPr="004824C6">
        <w:rPr>
          <w:rFonts w:cs="Arial"/>
          <w:szCs w:val="20"/>
        </w:rPr>
        <w:t>completion of this course</w:t>
      </w:r>
      <w:r>
        <w:rPr>
          <w:rFonts w:cs="Arial"/>
          <w:szCs w:val="20"/>
        </w:rPr>
        <w:t>,</w:t>
      </w:r>
      <w:r w:rsidRPr="004824C6">
        <w:rPr>
          <w:rFonts w:cs="Arial"/>
          <w:szCs w:val="20"/>
        </w:rPr>
        <w:t xml:space="preserve"> students should be able to:</w:t>
      </w:r>
    </w:p>
    <w:p w:rsidR="0087788A" w:rsidRPr="008108CB" w:rsidRDefault="0087788A" w:rsidP="0087788A">
      <w:pPr>
        <w:pStyle w:val="Indent1"/>
        <w:numPr>
          <w:ilvl w:val="0"/>
          <w:numId w:val="4"/>
        </w:numPr>
        <w:ind w:left="426" w:hanging="426"/>
        <w:rPr>
          <w:rFonts w:ascii="Arial" w:hAnsi="Arial" w:cs="Arial"/>
          <w:sz w:val="20"/>
          <w:u w:val="none"/>
        </w:rPr>
      </w:pPr>
      <w:r w:rsidRPr="00021841">
        <w:rPr>
          <w:rFonts w:ascii="Arial" w:hAnsi="Arial" w:cs="Arial"/>
          <w:sz w:val="20"/>
          <w:u w:val="none"/>
        </w:rPr>
        <w:t>Theory: Show evidence of</w:t>
      </w:r>
      <w:r>
        <w:rPr>
          <w:rFonts w:ascii="Arial" w:hAnsi="Arial" w:cs="Arial"/>
          <w:sz w:val="20"/>
          <w:u w:val="none"/>
        </w:rPr>
        <w:t xml:space="preserve"> </w:t>
      </w:r>
      <w:r w:rsidRPr="00021841">
        <w:rPr>
          <w:rFonts w:ascii="Arial" w:hAnsi="Arial" w:cs="Arial"/>
          <w:sz w:val="20"/>
          <w:u w:val="none"/>
        </w:rPr>
        <w:t xml:space="preserve">engagement with selected / prescribed areas of </w:t>
      </w:r>
      <w:r w:rsidRPr="008108CB">
        <w:rPr>
          <w:rFonts w:ascii="Arial" w:hAnsi="Arial" w:cs="Arial"/>
          <w:sz w:val="20"/>
          <w:u w:val="none"/>
        </w:rPr>
        <w:t>architectural theory and knowledge. Further, to show evidence of the exploration of the possible influence of this upon the development of architectural propositions.</w:t>
      </w:r>
    </w:p>
    <w:p w:rsidR="0087788A" w:rsidRPr="008108CB" w:rsidRDefault="0087788A" w:rsidP="0087788A">
      <w:pPr>
        <w:numPr>
          <w:ilvl w:val="0"/>
          <w:numId w:val="4"/>
        </w:numPr>
        <w:spacing w:line="240" w:lineRule="auto"/>
        <w:ind w:left="426" w:hanging="426"/>
        <w:jc w:val="left"/>
        <w:rPr>
          <w:rFonts w:cs="Arial"/>
        </w:rPr>
      </w:pPr>
      <w:r w:rsidRPr="008108CB">
        <w:rPr>
          <w:rFonts w:cs="Arial"/>
        </w:rPr>
        <w:t xml:space="preserve">Architectonics: </w:t>
      </w:r>
      <w:r w:rsidRPr="008108CB">
        <w:rPr>
          <w:rFonts w:cs="Arial"/>
          <w:szCs w:val="20"/>
        </w:rPr>
        <w:t xml:space="preserve">Demonstrate abilities to </w:t>
      </w:r>
      <w:r>
        <w:rPr>
          <w:rFonts w:cs="Arial"/>
          <w:szCs w:val="20"/>
        </w:rPr>
        <w:t>project,</w:t>
      </w:r>
      <w:r w:rsidRPr="008108CB">
        <w:rPr>
          <w:rFonts w:cs="Arial"/>
          <w:szCs w:val="20"/>
        </w:rPr>
        <w:t xml:space="preserve"> explore and </w:t>
      </w:r>
      <w:r w:rsidRPr="008108CB">
        <w:rPr>
          <w:rFonts w:cs="Arial"/>
        </w:rPr>
        <w:t xml:space="preserve">develop the tectonic characteristics of the project through the </w:t>
      </w:r>
      <w:r w:rsidRPr="008108CB">
        <w:rPr>
          <w:rFonts w:cs="Arial"/>
          <w:szCs w:val="20"/>
        </w:rPr>
        <w:t>creative engagement with material, structural or constructional propositions</w:t>
      </w:r>
      <w:r w:rsidRPr="008108CB">
        <w:rPr>
          <w:rFonts w:cs="Arial"/>
        </w:rPr>
        <w:t>.</w:t>
      </w:r>
    </w:p>
    <w:p w:rsidR="0087788A" w:rsidRPr="008108CB" w:rsidRDefault="0087788A" w:rsidP="0087788A">
      <w:pPr>
        <w:pStyle w:val="Indent1"/>
        <w:numPr>
          <w:ilvl w:val="0"/>
          <w:numId w:val="4"/>
        </w:numPr>
        <w:ind w:left="426" w:hanging="426"/>
        <w:rPr>
          <w:rFonts w:ascii="Arial" w:hAnsi="Arial" w:cs="Arial"/>
          <w:sz w:val="20"/>
          <w:u w:val="none"/>
        </w:rPr>
      </w:pPr>
      <w:r w:rsidRPr="008108CB">
        <w:rPr>
          <w:rFonts w:ascii="Arial" w:hAnsi="Arial" w:cs="Arial"/>
          <w:sz w:val="20"/>
          <w:u w:val="none"/>
        </w:rPr>
        <w:t xml:space="preserve">Programme: Show evidence of engagement with identified cultural, social and functional positions as they might inform </w:t>
      </w:r>
      <w:r>
        <w:rPr>
          <w:rFonts w:ascii="Arial" w:hAnsi="Arial" w:cs="Arial"/>
          <w:sz w:val="20"/>
          <w:u w:val="none"/>
        </w:rPr>
        <w:t>speculative</w:t>
      </w:r>
      <w:r w:rsidRPr="008108CB">
        <w:rPr>
          <w:rFonts w:ascii="Arial" w:hAnsi="Arial" w:cs="Arial"/>
          <w:sz w:val="20"/>
          <w:u w:val="none"/>
        </w:rPr>
        <w:t xml:space="preserve"> architectural propositions.</w:t>
      </w:r>
    </w:p>
    <w:p w:rsidR="0087788A" w:rsidRPr="008108CB" w:rsidRDefault="0087788A" w:rsidP="0087788A">
      <w:pPr>
        <w:pStyle w:val="Indent1"/>
        <w:numPr>
          <w:ilvl w:val="0"/>
          <w:numId w:val="4"/>
        </w:numPr>
        <w:ind w:left="426" w:hanging="426"/>
        <w:rPr>
          <w:rFonts w:ascii="Arial" w:hAnsi="Arial" w:cs="Arial"/>
          <w:sz w:val="20"/>
          <w:u w:val="none"/>
        </w:rPr>
      </w:pPr>
      <w:r w:rsidRPr="008108CB">
        <w:rPr>
          <w:rFonts w:ascii="Arial" w:hAnsi="Arial" w:cs="Arial"/>
          <w:sz w:val="20"/>
          <w:u w:val="none"/>
        </w:rPr>
        <w:t>Performance: Show abilities to advance conceptual thinking through engagement with environmental and contextual conditions that could bear upon the project, and to examine the way in which the architecture may affect those same conditions in return.</w:t>
      </w:r>
    </w:p>
    <w:p w:rsidR="0087788A" w:rsidRPr="008108CB" w:rsidRDefault="0087788A" w:rsidP="0087788A">
      <w:pPr>
        <w:pStyle w:val="Footer"/>
        <w:numPr>
          <w:ilvl w:val="0"/>
          <w:numId w:val="3"/>
        </w:numPr>
        <w:tabs>
          <w:tab w:val="clear" w:pos="4513"/>
          <w:tab w:val="clear" w:pos="9026"/>
        </w:tabs>
        <w:ind w:left="426" w:hanging="426"/>
        <w:jc w:val="left"/>
        <w:rPr>
          <w:rFonts w:cs="Arial"/>
          <w:szCs w:val="20"/>
        </w:rPr>
      </w:pPr>
      <w:r w:rsidRPr="008108CB">
        <w:rPr>
          <w:rFonts w:cs="Arial"/>
        </w:rPr>
        <w:t xml:space="preserve">Form and space: Demonstrate abilities to develop </w:t>
      </w:r>
      <w:r>
        <w:rPr>
          <w:rFonts w:cs="Arial"/>
        </w:rPr>
        <w:t xml:space="preserve">speculative </w:t>
      </w:r>
      <w:r w:rsidRPr="008108CB">
        <w:rPr>
          <w:rFonts w:cs="Arial"/>
        </w:rPr>
        <w:t>three dimensional architectural form and space</w:t>
      </w:r>
      <w:r>
        <w:rPr>
          <w:rFonts w:cs="Arial"/>
        </w:rPr>
        <w:t>.</w:t>
      </w:r>
    </w:p>
    <w:p w:rsidR="0087788A" w:rsidRDefault="0087788A" w:rsidP="0087788A">
      <w:pPr>
        <w:pStyle w:val="Footer"/>
        <w:numPr>
          <w:ilvl w:val="0"/>
          <w:numId w:val="3"/>
        </w:numPr>
        <w:tabs>
          <w:tab w:val="clear" w:pos="4513"/>
          <w:tab w:val="clear" w:pos="9026"/>
        </w:tabs>
        <w:ind w:left="426" w:hanging="426"/>
        <w:jc w:val="left"/>
        <w:rPr>
          <w:rFonts w:cs="Arial"/>
          <w:szCs w:val="20"/>
        </w:rPr>
      </w:pPr>
      <w:r w:rsidRPr="008108CB">
        <w:rPr>
          <w:rFonts w:cs="Arial"/>
          <w:szCs w:val="20"/>
        </w:rPr>
        <w:t>Media: Display skill in the communication and development of design propositions through the considered use of architectural media.</w:t>
      </w:r>
    </w:p>
    <w:p w:rsidR="002E28E3" w:rsidRDefault="002E28E3" w:rsidP="002E28E3"/>
    <w:p w:rsidR="0087788A" w:rsidRDefault="0087788A" w:rsidP="0087788A">
      <w:pPr>
        <w:rPr>
          <w:rFonts w:cs="Arial"/>
          <w:b/>
          <w:bCs/>
          <w:szCs w:val="20"/>
        </w:rPr>
      </w:pPr>
      <w:r>
        <w:rPr>
          <w:rFonts w:cs="Arial"/>
          <w:b/>
          <w:bCs/>
          <w:szCs w:val="20"/>
        </w:rPr>
        <w:t>Specific Topic Outcomes</w:t>
      </w:r>
    </w:p>
    <w:p w:rsidR="0087788A" w:rsidRPr="009276C6" w:rsidRDefault="0087788A" w:rsidP="0087788A">
      <w:pPr>
        <w:rPr>
          <w:rFonts w:cs="Arial"/>
          <w:bCs/>
          <w:szCs w:val="20"/>
        </w:rPr>
      </w:pPr>
      <w:r w:rsidRPr="009276C6">
        <w:rPr>
          <w:rFonts w:cs="Arial"/>
          <w:bCs/>
          <w:szCs w:val="20"/>
        </w:rPr>
        <w:t>This studio topic will engage the general course outcomes in the following ways:</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 xml:space="preserve">Theory: Show evidence of engagement with the problems concerning inclusion, identity and difference, critical assemblage and ecological sensibility, in the design approach and in the definition of concept, objectives and methods for the architecture of public space, with particular focus on the relationships between physical, social and psychological spatialities.  </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Architectonics: Demonstrate abilities to experimentally project, explore and develop tectonic and eidetic aspects dealing with diversity and ‘multitude’, through the creative engagement with material, structural and visual elements pertaining the collective space, and an appropriate use of digital media.</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Programme: Show evidence of engagement with a complex and multi-layered urban habitat, composing practices of communication, spectacle, consumption and recreation to improve the quality of a crucial place for the cultural, social and physical wellbeing of the wider community of one of the main centres of the Auckland conurbation.</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 xml:space="preserve">Performance: Show abilities to advance conceptual thinking combining theoretical and empirical research, and engaging with particularly complex urban conditions, through reading, interpretation and critical evaluation of scenarios and strategies in relation to the new forms of urbanity (the fast growing city of spectacle and consumption in the distributed megacity. </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 xml:space="preserve">Form and space: Demonstrate abilities to develop an innovative and site-specific architectural proposition with consistent relations between form, function, construction, materials and performances in each of the different design phases (meta-project, concept, design development, documentation and presentation).  </w:t>
      </w:r>
    </w:p>
    <w:p w:rsidR="00C91E8E" w:rsidRPr="003E45A4" w:rsidRDefault="00C91E8E" w:rsidP="00C91E8E">
      <w:pPr>
        <w:pStyle w:val="Indent1"/>
        <w:numPr>
          <w:ilvl w:val="0"/>
          <w:numId w:val="4"/>
        </w:numPr>
        <w:ind w:left="426" w:hanging="426"/>
        <w:rPr>
          <w:rFonts w:ascii="Arial" w:hAnsi="Arial" w:cs="Arial"/>
          <w:sz w:val="20"/>
          <w:u w:val="none"/>
          <w:lang w:val="en-GB"/>
        </w:rPr>
      </w:pPr>
      <w:r w:rsidRPr="003E45A4">
        <w:rPr>
          <w:rFonts w:ascii="Arial" w:hAnsi="Arial" w:cs="Arial"/>
          <w:sz w:val="20"/>
          <w:u w:val="none"/>
          <w:lang w:val="en-GB"/>
        </w:rPr>
        <w:t>Media: Demonstrate advanced skills in the use of media in all the different design phases (meta-project, concept, design development, documentation and presentation).</w:t>
      </w:r>
    </w:p>
    <w:p w:rsidR="00C91E8E" w:rsidRPr="00C91E8E" w:rsidRDefault="00C91E8E" w:rsidP="0087788A">
      <w:pPr>
        <w:rPr>
          <w:rFonts w:cs="Arial"/>
          <w:bCs/>
          <w:color w:val="FF0000"/>
          <w:szCs w:val="20"/>
          <w:lang w:val="en-GB"/>
        </w:rPr>
      </w:pPr>
    </w:p>
    <w:p w:rsidR="002E28E3" w:rsidRDefault="000E27D1" w:rsidP="002E28E3">
      <w:pPr>
        <w:pStyle w:val="Heading2"/>
      </w:pPr>
      <w:r>
        <w:t>6.0</w:t>
      </w:r>
      <w:r>
        <w:tab/>
      </w:r>
      <w:r w:rsidR="002E28E3">
        <w:t>COURSE STRUCTURE AND CONTENT</w:t>
      </w:r>
    </w:p>
    <w:p w:rsidR="002E28E3" w:rsidRDefault="002E28E3" w:rsidP="002E28E3"/>
    <w:tbl>
      <w:tblPr>
        <w:tblStyle w:val="TableGrid"/>
        <w:tblW w:w="0" w:type="auto"/>
        <w:tblBorders>
          <w:left w:val="none" w:sz="0" w:space="0" w:color="auto"/>
          <w:right w:val="none" w:sz="0" w:space="0" w:color="auto"/>
          <w:insideV w:val="none" w:sz="0" w:space="0" w:color="auto"/>
        </w:tblBorders>
        <w:tblLayout w:type="fixed"/>
        <w:tblCellMar>
          <w:top w:w="28" w:type="dxa"/>
          <w:left w:w="85" w:type="dxa"/>
          <w:right w:w="85" w:type="dxa"/>
        </w:tblCellMar>
        <w:tblLook w:val="04A0" w:firstRow="1" w:lastRow="0" w:firstColumn="1" w:lastColumn="0" w:noHBand="0" w:noVBand="1"/>
      </w:tblPr>
      <w:tblGrid>
        <w:gridCol w:w="1212"/>
        <w:gridCol w:w="1162"/>
        <w:gridCol w:w="4192"/>
        <w:gridCol w:w="3629"/>
      </w:tblGrid>
      <w:tr w:rsidR="00A455FD" w:rsidRPr="004C1863" w:rsidTr="00A455FD">
        <w:tc>
          <w:tcPr>
            <w:tcW w:w="1212" w:type="dxa"/>
            <w:tcBorders>
              <w:top w:val="single" w:sz="12" w:space="0" w:color="auto"/>
              <w:bottom w:val="single" w:sz="12" w:space="0" w:color="auto"/>
            </w:tcBorders>
          </w:tcPr>
          <w:p w:rsidR="000E27D1" w:rsidRPr="000E27D1" w:rsidRDefault="000E27D1" w:rsidP="000E27D1">
            <w:pPr>
              <w:rPr>
                <w:b/>
              </w:rPr>
            </w:pPr>
            <w:r w:rsidRPr="000E27D1">
              <w:rPr>
                <w:b/>
              </w:rPr>
              <w:t>Week</w:t>
            </w:r>
          </w:p>
        </w:tc>
        <w:tc>
          <w:tcPr>
            <w:tcW w:w="1162" w:type="dxa"/>
            <w:tcBorders>
              <w:top w:val="single" w:sz="12" w:space="0" w:color="auto"/>
              <w:bottom w:val="single" w:sz="12" w:space="0" w:color="auto"/>
            </w:tcBorders>
          </w:tcPr>
          <w:p w:rsidR="000E27D1" w:rsidRPr="000E27D1" w:rsidRDefault="000E27D1" w:rsidP="000E27D1">
            <w:pPr>
              <w:rPr>
                <w:b/>
              </w:rPr>
            </w:pPr>
            <w:r w:rsidRPr="000E27D1">
              <w:rPr>
                <w:b/>
              </w:rPr>
              <w:t>Date</w:t>
            </w:r>
          </w:p>
        </w:tc>
        <w:tc>
          <w:tcPr>
            <w:tcW w:w="4192" w:type="dxa"/>
            <w:tcBorders>
              <w:top w:val="single" w:sz="12" w:space="0" w:color="auto"/>
              <w:bottom w:val="single" w:sz="12" w:space="0" w:color="auto"/>
            </w:tcBorders>
          </w:tcPr>
          <w:p w:rsidR="000E27D1" w:rsidRPr="000E27D1" w:rsidRDefault="000E27D1" w:rsidP="000E27D1">
            <w:pPr>
              <w:rPr>
                <w:b/>
              </w:rPr>
            </w:pPr>
            <w:r w:rsidRPr="000E27D1">
              <w:rPr>
                <w:b/>
              </w:rPr>
              <w:t>Topic</w:t>
            </w:r>
          </w:p>
        </w:tc>
        <w:tc>
          <w:tcPr>
            <w:tcW w:w="3629" w:type="dxa"/>
            <w:tcBorders>
              <w:top w:val="single" w:sz="12" w:space="0" w:color="auto"/>
              <w:bottom w:val="single" w:sz="12" w:space="0" w:color="auto"/>
            </w:tcBorders>
          </w:tcPr>
          <w:p w:rsidR="000E27D1" w:rsidRPr="000E27D1" w:rsidRDefault="000E27D1" w:rsidP="000E27D1">
            <w:pPr>
              <w:rPr>
                <w:b/>
              </w:rPr>
            </w:pPr>
          </w:p>
        </w:tc>
      </w:tr>
      <w:tr w:rsidR="001E223B" w:rsidRPr="0087788A" w:rsidTr="004D5422">
        <w:tc>
          <w:tcPr>
            <w:tcW w:w="1212" w:type="dxa"/>
            <w:tcBorders>
              <w:top w:val="single" w:sz="12" w:space="0" w:color="auto"/>
            </w:tcBorders>
          </w:tcPr>
          <w:p w:rsidR="001E223B" w:rsidRPr="0087788A" w:rsidRDefault="001E223B" w:rsidP="000E27D1">
            <w:pPr>
              <w:rPr>
                <w:color w:val="FF0000"/>
              </w:rPr>
            </w:pPr>
            <w:r w:rsidRPr="0087788A">
              <w:rPr>
                <w:color w:val="FF0000"/>
              </w:rPr>
              <w:t>Week 1</w:t>
            </w:r>
          </w:p>
        </w:tc>
        <w:tc>
          <w:tcPr>
            <w:tcW w:w="1162" w:type="dxa"/>
            <w:tcBorders>
              <w:top w:val="single" w:sz="12" w:space="0" w:color="auto"/>
            </w:tcBorders>
          </w:tcPr>
          <w:p w:rsidR="001E223B" w:rsidRPr="0087788A" w:rsidRDefault="001E223B" w:rsidP="000E27D1">
            <w:pPr>
              <w:rPr>
                <w:color w:val="FF0000"/>
              </w:rPr>
            </w:pPr>
            <w:r>
              <w:rPr>
                <w:color w:val="FF0000"/>
              </w:rPr>
              <w:t>6-12/03</w:t>
            </w:r>
          </w:p>
        </w:tc>
        <w:tc>
          <w:tcPr>
            <w:tcW w:w="7821" w:type="dxa"/>
            <w:gridSpan w:val="2"/>
            <w:tcBorders>
              <w:top w:val="single" w:sz="12" w:space="0" w:color="auto"/>
            </w:tcBorders>
          </w:tcPr>
          <w:p w:rsidR="001E223B" w:rsidRPr="0087788A" w:rsidRDefault="001E223B" w:rsidP="000E27D1">
            <w:pPr>
              <w:rPr>
                <w:color w:val="FF0000"/>
              </w:rPr>
            </w:pPr>
            <w:r w:rsidRPr="00C91E8E">
              <w:rPr>
                <w:rFonts w:cs="Arial"/>
                <w:lang w:val="en-GB"/>
              </w:rPr>
              <w:t>Introduction</w:t>
            </w:r>
            <w:r w:rsidRPr="00F97BFC">
              <w:rPr>
                <w:rFonts w:cs="Arial"/>
                <w:lang w:val="en-GB"/>
              </w:rPr>
              <w:t xml:space="preserve"> to the topic and p</w:t>
            </w:r>
            <w:r>
              <w:rPr>
                <w:rFonts w:cs="Arial"/>
                <w:lang w:val="en-GB"/>
              </w:rPr>
              <w:t xml:space="preserve">reliminary research on </w:t>
            </w:r>
            <w:r w:rsidR="007D7F2F">
              <w:rPr>
                <w:rFonts w:cs="Arial"/>
                <w:lang w:val="en-GB"/>
              </w:rPr>
              <w:t xml:space="preserve">the three </w:t>
            </w:r>
            <w:r>
              <w:rPr>
                <w:rFonts w:cs="Arial"/>
                <w:lang w:val="en-GB"/>
              </w:rPr>
              <w:t xml:space="preserve">sub-topics (in teams) with identification of the main </w:t>
            </w:r>
            <w:r>
              <w:rPr>
                <w:rFonts w:cs="Arial"/>
                <w:lang w:val="en-GB"/>
              </w:rPr>
              <w:t>(individual)</w:t>
            </w:r>
            <w:r>
              <w:rPr>
                <w:rFonts w:cs="Arial"/>
                <w:lang w:val="en-GB"/>
              </w:rPr>
              <w:t xml:space="preserve"> objectives. </w:t>
            </w:r>
          </w:p>
        </w:tc>
      </w:tr>
      <w:tr w:rsidR="001E223B" w:rsidRPr="0087788A" w:rsidTr="008F0937">
        <w:tc>
          <w:tcPr>
            <w:tcW w:w="1212" w:type="dxa"/>
          </w:tcPr>
          <w:p w:rsidR="001E223B" w:rsidRPr="0087788A" w:rsidRDefault="001E223B" w:rsidP="000E27D1">
            <w:pPr>
              <w:rPr>
                <w:color w:val="FF0000"/>
              </w:rPr>
            </w:pPr>
            <w:r w:rsidRPr="0087788A">
              <w:rPr>
                <w:color w:val="FF0000"/>
              </w:rPr>
              <w:t>Week 2</w:t>
            </w:r>
          </w:p>
        </w:tc>
        <w:tc>
          <w:tcPr>
            <w:tcW w:w="1162" w:type="dxa"/>
          </w:tcPr>
          <w:p w:rsidR="001E223B" w:rsidRPr="0087788A" w:rsidRDefault="001E223B" w:rsidP="000E27D1">
            <w:pPr>
              <w:rPr>
                <w:color w:val="FF0000"/>
              </w:rPr>
            </w:pPr>
            <w:r>
              <w:rPr>
                <w:color w:val="FF0000"/>
              </w:rPr>
              <w:t>13-19/03</w:t>
            </w:r>
          </w:p>
        </w:tc>
        <w:tc>
          <w:tcPr>
            <w:tcW w:w="7821" w:type="dxa"/>
            <w:gridSpan w:val="2"/>
          </w:tcPr>
          <w:p w:rsidR="001E223B" w:rsidRPr="0087788A" w:rsidRDefault="001E223B" w:rsidP="000E27D1">
            <w:pPr>
              <w:rPr>
                <w:color w:val="FF0000"/>
              </w:rPr>
            </w:pPr>
            <w:r>
              <w:rPr>
                <w:rFonts w:cs="Arial"/>
                <w:lang w:val="en-GB"/>
              </w:rPr>
              <w:t>Identification and c</w:t>
            </w:r>
            <w:r w:rsidRPr="00F97BFC">
              <w:rPr>
                <w:rFonts w:cs="Arial"/>
                <w:lang w:val="en-GB"/>
              </w:rPr>
              <w:t>ritical analysis of context and building site with delineation of the meta-project</w:t>
            </w:r>
            <w:r>
              <w:rPr>
                <w:rFonts w:cs="Arial"/>
                <w:lang w:val="en-GB"/>
              </w:rPr>
              <w:t xml:space="preserve">. </w:t>
            </w:r>
          </w:p>
        </w:tc>
      </w:tr>
      <w:tr w:rsidR="001E223B" w:rsidRPr="0087788A" w:rsidTr="002D3AD5">
        <w:tc>
          <w:tcPr>
            <w:tcW w:w="1212" w:type="dxa"/>
          </w:tcPr>
          <w:p w:rsidR="001E223B" w:rsidRPr="0087788A" w:rsidRDefault="001E223B" w:rsidP="000E27D1">
            <w:pPr>
              <w:rPr>
                <w:color w:val="FF0000"/>
              </w:rPr>
            </w:pPr>
            <w:r w:rsidRPr="0087788A">
              <w:rPr>
                <w:color w:val="FF0000"/>
              </w:rPr>
              <w:t>Week 3</w:t>
            </w:r>
          </w:p>
        </w:tc>
        <w:tc>
          <w:tcPr>
            <w:tcW w:w="1162" w:type="dxa"/>
          </w:tcPr>
          <w:p w:rsidR="001E223B" w:rsidRPr="0087788A" w:rsidRDefault="001E223B" w:rsidP="000E27D1">
            <w:pPr>
              <w:rPr>
                <w:color w:val="FF0000"/>
              </w:rPr>
            </w:pPr>
            <w:r>
              <w:rPr>
                <w:color w:val="FF0000"/>
              </w:rPr>
              <w:t>20-26/03</w:t>
            </w:r>
          </w:p>
        </w:tc>
        <w:tc>
          <w:tcPr>
            <w:tcW w:w="7821" w:type="dxa"/>
            <w:gridSpan w:val="2"/>
          </w:tcPr>
          <w:p w:rsidR="001E223B" w:rsidRPr="0087788A" w:rsidRDefault="001E223B" w:rsidP="000E27D1">
            <w:pPr>
              <w:rPr>
                <w:color w:val="FF0000"/>
              </w:rPr>
            </w:pPr>
            <w:r>
              <w:rPr>
                <w:rFonts w:cs="Arial"/>
                <w:lang w:val="en-GB"/>
              </w:rPr>
              <w:t xml:space="preserve">Critical appraisal of </w:t>
            </w:r>
            <w:r w:rsidRPr="00F97BFC">
              <w:rPr>
                <w:rFonts w:cs="Arial"/>
                <w:lang w:val="en-GB"/>
              </w:rPr>
              <w:t>design precedents</w:t>
            </w:r>
            <w:r>
              <w:rPr>
                <w:rFonts w:cs="Arial"/>
                <w:lang w:val="en-GB"/>
              </w:rPr>
              <w:t xml:space="preserve"> (individual - three sources of inspiration).</w:t>
            </w:r>
          </w:p>
        </w:tc>
      </w:tr>
      <w:tr w:rsidR="001E223B" w:rsidRPr="0087788A" w:rsidTr="00FB041F">
        <w:tc>
          <w:tcPr>
            <w:tcW w:w="1212" w:type="dxa"/>
          </w:tcPr>
          <w:p w:rsidR="001E223B" w:rsidRPr="0087788A" w:rsidRDefault="001E223B" w:rsidP="000E27D1">
            <w:pPr>
              <w:rPr>
                <w:color w:val="FF0000"/>
              </w:rPr>
            </w:pPr>
            <w:r w:rsidRPr="0087788A">
              <w:rPr>
                <w:color w:val="FF0000"/>
              </w:rPr>
              <w:t>Week 4</w:t>
            </w:r>
          </w:p>
        </w:tc>
        <w:tc>
          <w:tcPr>
            <w:tcW w:w="1162" w:type="dxa"/>
          </w:tcPr>
          <w:p w:rsidR="001E223B" w:rsidRPr="0087788A" w:rsidRDefault="001E223B" w:rsidP="000E27D1">
            <w:pPr>
              <w:rPr>
                <w:color w:val="FF0000"/>
              </w:rPr>
            </w:pPr>
            <w:r>
              <w:rPr>
                <w:color w:val="FF0000"/>
              </w:rPr>
              <w:t>27/03-2/04</w:t>
            </w:r>
          </w:p>
        </w:tc>
        <w:tc>
          <w:tcPr>
            <w:tcW w:w="7821" w:type="dxa"/>
            <w:gridSpan w:val="2"/>
          </w:tcPr>
          <w:p w:rsidR="001E223B" w:rsidRPr="0087788A" w:rsidRDefault="001E223B" w:rsidP="000E27D1">
            <w:pPr>
              <w:rPr>
                <w:color w:val="FF0000"/>
              </w:rPr>
            </w:pPr>
            <w:r w:rsidRPr="00F97BFC">
              <w:rPr>
                <w:rFonts w:cs="Arial"/>
                <w:lang w:val="en-GB"/>
              </w:rPr>
              <w:t xml:space="preserve">Definition of the design concept with exploration of </w:t>
            </w:r>
            <w:r>
              <w:rPr>
                <w:rFonts w:cs="Arial"/>
                <w:lang w:val="en-GB"/>
              </w:rPr>
              <w:t>speculative</w:t>
            </w:r>
            <w:r w:rsidRPr="00F97BFC">
              <w:rPr>
                <w:rFonts w:cs="Arial"/>
                <w:lang w:val="en-GB"/>
              </w:rPr>
              <w:t xml:space="preserve"> design</w:t>
            </w:r>
            <w:r>
              <w:rPr>
                <w:rFonts w:cs="Arial"/>
                <w:lang w:val="en-GB"/>
              </w:rPr>
              <w:t xml:space="preserve"> processes</w:t>
            </w:r>
            <w:r w:rsidRPr="00F97BFC">
              <w:rPr>
                <w:rFonts w:cs="Arial"/>
                <w:lang w:val="en-GB"/>
              </w:rPr>
              <w:t>.</w:t>
            </w:r>
          </w:p>
        </w:tc>
      </w:tr>
      <w:tr w:rsidR="001E223B" w:rsidRPr="0087788A" w:rsidTr="000065FC">
        <w:tc>
          <w:tcPr>
            <w:tcW w:w="1212" w:type="dxa"/>
          </w:tcPr>
          <w:p w:rsidR="001E223B" w:rsidRPr="0087788A" w:rsidRDefault="001E223B" w:rsidP="000E27D1">
            <w:pPr>
              <w:rPr>
                <w:color w:val="FF0000"/>
              </w:rPr>
            </w:pPr>
            <w:r w:rsidRPr="0087788A">
              <w:rPr>
                <w:color w:val="FF0000"/>
              </w:rPr>
              <w:t>Week 5</w:t>
            </w:r>
          </w:p>
        </w:tc>
        <w:tc>
          <w:tcPr>
            <w:tcW w:w="1162" w:type="dxa"/>
          </w:tcPr>
          <w:p w:rsidR="001E223B" w:rsidRPr="0087788A" w:rsidRDefault="001E223B" w:rsidP="000E27D1">
            <w:pPr>
              <w:rPr>
                <w:color w:val="FF0000"/>
              </w:rPr>
            </w:pPr>
            <w:r>
              <w:rPr>
                <w:color w:val="FF0000"/>
              </w:rPr>
              <w:t>3-9/04</w:t>
            </w:r>
          </w:p>
        </w:tc>
        <w:tc>
          <w:tcPr>
            <w:tcW w:w="7821" w:type="dxa"/>
            <w:gridSpan w:val="2"/>
          </w:tcPr>
          <w:p w:rsidR="001E223B" w:rsidRPr="0087788A" w:rsidRDefault="001E223B" w:rsidP="000E27D1">
            <w:pPr>
              <w:rPr>
                <w:color w:val="FF0000"/>
              </w:rPr>
            </w:pPr>
            <w:r>
              <w:rPr>
                <w:rFonts w:cs="Arial"/>
                <w:lang w:val="en-GB"/>
              </w:rPr>
              <w:t>Delineation of the masterplan.</w:t>
            </w:r>
          </w:p>
        </w:tc>
      </w:tr>
      <w:tr w:rsidR="003D6DF2" w:rsidRPr="00F56951" w:rsidTr="003D6DF2">
        <w:tc>
          <w:tcPr>
            <w:tcW w:w="1212" w:type="dxa"/>
            <w:tcBorders>
              <w:bottom w:val="single" w:sz="12" w:space="0" w:color="auto"/>
            </w:tcBorders>
          </w:tcPr>
          <w:p w:rsidR="003D6DF2" w:rsidRPr="003D6DF2" w:rsidRDefault="003D6DF2" w:rsidP="003D6DF2">
            <w:pPr>
              <w:rPr>
                <w:color w:val="FF0000"/>
              </w:rPr>
            </w:pPr>
            <w:r w:rsidRPr="003D6DF2">
              <w:rPr>
                <w:color w:val="FF0000"/>
              </w:rPr>
              <w:t>Week 6</w:t>
            </w:r>
          </w:p>
        </w:tc>
        <w:tc>
          <w:tcPr>
            <w:tcW w:w="1162" w:type="dxa"/>
            <w:tcBorders>
              <w:bottom w:val="single" w:sz="12" w:space="0" w:color="auto"/>
            </w:tcBorders>
          </w:tcPr>
          <w:p w:rsidR="003D6DF2" w:rsidRPr="00F56951" w:rsidRDefault="00A866DA" w:rsidP="003D6DF2">
            <w:r w:rsidRPr="00A866DA">
              <w:rPr>
                <w:color w:val="FF0000"/>
              </w:rPr>
              <w:t>10-16/04</w:t>
            </w:r>
          </w:p>
        </w:tc>
        <w:tc>
          <w:tcPr>
            <w:tcW w:w="4192" w:type="dxa"/>
            <w:tcBorders>
              <w:bottom w:val="single" w:sz="12" w:space="0" w:color="auto"/>
            </w:tcBorders>
          </w:tcPr>
          <w:p w:rsidR="003D6DF2" w:rsidRPr="00A866DA" w:rsidRDefault="003D6DF2" w:rsidP="003D6DF2">
            <w:pPr>
              <w:rPr>
                <w:b/>
                <w:color w:val="FF0000"/>
              </w:rPr>
            </w:pPr>
            <w:r w:rsidRPr="00A866DA">
              <w:rPr>
                <w:b/>
                <w:color w:val="FF0000"/>
              </w:rPr>
              <w:t>Mid-semester crits</w:t>
            </w:r>
          </w:p>
        </w:tc>
        <w:tc>
          <w:tcPr>
            <w:tcW w:w="3629" w:type="dxa"/>
            <w:tcBorders>
              <w:bottom w:val="single" w:sz="12" w:space="0" w:color="auto"/>
            </w:tcBorders>
          </w:tcPr>
          <w:p w:rsidR="003D6DF2" w:rsidRPr="00F56951" w:rsidRDefault="003D6DF2" w:rsidP="003D6DF2"/>
        </w:tc>
      </w:tr>
      <w:tr w:rsidR="00A455FD" w:rsidRPr="00F56951" w:rsidTr="00A455FD">
        <w:tc>
          <w:tcPr>
            <w:tcW w:w="1212" w:type="dxa"/>
            <w:tcBorders>
              <w:top w:val="single" w:sz="12" w:space="0" w:color="auto"/>
              <w:bottom w:val="single" w:sz="12" w:space="0" w:color="auto"/>
            </w:tcBorders>
          </w:tcPr>
          <w:p w:rsidR="000E27D1" w:rsidRPr="00F56951" w:rsidRDefault="000E27D1" w:rsidP="000E27D1"/>
        </w:tc>
        <w:tc>
          <w:tcPr>
            <w:tcW w:w="1162" w:type="dxa"/>
            <w:tcBorders>
              <w:top w:val="single" w:sz="12" w:space="0" w:color="auto"/>
              <w:bottom w:val="single" w:sz="12" w:space="0" w:color="auto"/>
            </w:tcBorders>
          </w:tcPr>
          <w:p w:rsidR="000E27D1" w:rsidRPr="00F56951" w:rsidRDefault="000E27D1" w:rsidP="000E27D1"/>
        </w:tc>
        <w:tc>
          <w:tcPr>
            <w:tcW w:w="4192" w:type="dxa"/>
            <w:tcBorders>
              <w:top w:val="single" w:sz="12" w:space="0" w:color="auto"/>
              <w:bottom w:val="single" w:sz="12" w:space="0" w:color="auto"/>
            </w:tcBorders>
          </w:tcPr>
          <w:p w:rsidR="000E27D1" w:rsidRPr="00F56951" w:rsidRDefault="000E27D1" w:rsidP="000E27D1">
            <w:r w:rsidRPr="00F56951">
              <w:t>MID-SEMESTER BREAK</w:t>
            </w:r>
          </w:p>
        </w:tc>
        <w:tc>
          <w:tcPr>
            <w:tcW w:w="3629" w:type="dxa"/>
            <w:tcBorders>
              <w:top w:val="single" w:sz="12" w:space="0" w:color="auto"/>
              <w:bottom w:val="single" w:sz="12" w:space="0" w:color="auto"/>
            </w:tcBorders>
          </w:tcPr>
          <w:p w:rsidR="000E27D1" w:rsidRPr="00F56951" w:rsidRDefault="000E27D1" w:rsidP="000E27D1"/>
        </w:tc>
      </w:tr>
      <w:tr w:rsidR="001E223B" w:rsidRPr="0087788A" w:rsidTr="005F7C56">
        <w:tc>
          <w:tcPr>
            <w:tcW w:w="1212" w:type="dxa"/>
            <w:tcBorders>
              <w:top w:val="single" w:sz="12" w:space="0" w:color="auto"/>
            </w:tcBorders>
          </w:tcPr>
          <w:p w:rsidR="001E223B" w:rsidRPr="0087788A" w:rsidRDefault="001E223B" w:rsidP="000E27D1">
            <w:pPr>
              <w:rPr>
                <w:color w:val="FF0000"/>
              </w:rPr>
            </w:pPr>
            <w:r w:rsidRPr="0087788A">
              <w:rPr>
                <w:color w:val="FF0000"/>
              </w:rPr>
              <w:t>Week 7</w:t>
            </w:r>
          </w:p>
        </w:tc>
        <w:tc>
          <w:tcPr>
            <w:tcW w:w="1162" w:type="dxa"/>
            <w:tcBorders>
              <w:top w:val="single" w:sz="12" w:space="0" w:color="auto"/>
            </w:tcBorders>
          </w:tcPr>
          <w:p w:rsidR="001E223B" w:rsidRPr="0087788A" w:rsidRDefault="001E223B" w:rsidP="000E27D1">
            <w:pPr>
              <w:rPr>
                <w:color w:val="FF0000"/>
              </w:rPr>
            </w:pPr>
            <w:r>
              <w:rPr>
                <w:color w:val="FF0000"/>
              </w:rPr>
              <w:t>1-7/05</w:t>
            </w:r>
          </w:p>
        </w:tc>
        <w:tc>
          <w:tcPr>
            <w:tcW w:w="7821" w:type="dxa"/>
            <w:gridSpan w:val="2"/>
            <w:tcBorders>
              <w:top w:val="single" w:sz="12" w:space="0" w:color="auto"/>
            </w:tcBorders>
          </w:tcPr>
          <w:p w:rsidR="001E223B" w:rsidRPr="0087788A" w:rsidRDefault="001E223B" w:rsidP="000E27D1">
            <w:pPr>
              <w:rPr>
                <w:color w:val="FF0000"/>
              </w:rPr>
            </w:pPr>
            <w:r w:rsidRPr="00F97BFC">
              <w:rPr>
                <w:rFonts w:cs="Arial"/>
                <w:lang w:val="en-GB"/>
              </w:rPr>
              <w:t>Finalisa</w:t>
            </w:r>
            <w:r>
              <w:rPr>
                <w:rFonts w:cs="Arial"/>
                <w:lang w:val="en-GB"/>
              </w:rPr>
              <w:t>tion/revision of the masterplan.</w:t>
            </w:r>
          </w:p>
        </w:tc>
      </w:tr>
      <w:tr w:rsidR="00A455FD" w:rsidRPr="0087788A" w:rsidTr="00A455FD">
        <w:tc>
          <w:tcPr>
            <w:tcW w:w="1212" w:type="dxa"/>
          </w:tcPr>
          <w:p w:rsidR="000E27D1" w:rsidRPr="0087788A" w:rsidRDefault="000E27D1" w:rsidP="000E27D1">
            <w:pPr>
              <w:rPr>
                <w:color w:val="FF0000"/>
              </w:rPr>
            </w:pPr>
            <w:r w:rsidRPr="0087788A">
              <w:rPr>
                <w:color w:val="FF0000"/>
              </w:rPr>
              <w:t>Week 8</w:t>
            </w:r>
          </w:p>
        </w:tc>
        <w:tc>
          <w:tcPr>
            <w:tcW w:w="1162" w:type="dxa"/>
          </w:tcPr>
          <w:p w:rsidR="000E27D1" w:rsidRPr="0087788A" w:rsidRDefault="00A866DA" w:rsidP="000E27D1">
            <w:pPr>
              <w:rPr>
                <w:color w:val="FF0000"/>
              </w:rPr>
            </w:pPr>
            <w:r>
              <w:rPr>
                <w:color w:val="FF0000"/>
              </w:rPr>
              <w:t>8-14/05</w:t>
            </w:r>
          </w:p>
        </w:tc>
        <w:tc>
          <w:tcPr>
            <w:tcW w:w="4192" w:type="dxa"/>
          </w:tcPr>
          <w:p w:rsidR="000E27D1" w:rsidRPr="00C91E8E" w:rsidRDefault="00C91E8E" w:rsidP="00C91E8E">
            <w:pPr>
              <w:pStyle w:val="Indent1"/>
              <w:rPr>
                <w:rFonts w:ascii="Arial" w:hAnsi="Arial" w:cs="Arial"/>
                <w:sz w:val="20"/>
                <w:u w:val="none"/>
                <w:lang w:val="en-GB"/>
              </w:rPr>
            </w:pPr>
            <w:r>
              <w:rPr>
                <w:rFonts w:ascii="Arial" w:hAnsi="Arial" w:cs="Arial"/>
                <w:sz w:val="20"/>
                <w:u w:val="none"/>
                <w:lang w:val="en-GB"/>
              </w:rPr>
              <w:t>D</w:t>
            </w:r>
            <w:r w:rsidRPr="00F97BFC">
              <w:rPr>
                <w:rFonts w:ascii="Arial" w:hAnsi="Arial" w:cs="Arial"/>
                <w:sz w:val="20"/>
                <w:u w:val="none"/>
                <w:lang w:val="en-GB"/>
              </w:rPr>
              <w:t>esign development.</w:t>
            </w:r>
          </w:p>
        </w:tc>
        <w:tc>
          <w:tcPr>
            <w:tcW w:w="3629" w:type="dxa"/>
          </w:tcPr>
          <w:p w:rsidR="000E27D1" w:rsidRPr="0087788A" w:rsidRDefault="000E27D1" w:rsidP="000E27D1">
            <w:pPr>
              <w:rPr>
                <w:color w:val="FF0000"/>
              </w:rPr>
            </w:pPr>
          </w:p>
        </w:tc>
      </w:tr>
      <w:tr w:rsidR="00A455FD" w:rsidRPr="0087788A" w:rsidTr="00A455FD">
        <w:tc>
          <w:tcPr>
            <w:tcW w:w="1212" w:type="dxa"/>
          </w:tcPr>
          <w:p w:rsidR="000E27D1" w:rsidRPr="0087788A" w:rsidRDefault="000E27D1" w:rsidP="000E27D1">
            <w:pPr>
              <w:rPr>
                <w:color w:val="FF0000"/>
              </w:rPr>
            </w:pPr>
            <w:r w:rsidRPr="0087788A">
              <w:rPr>
                <w:color w:val="FF0000"/>
              </w:rPr>
              <w:t>Week 9</w:t>
            </w:r>
          </w:p>
        </w:tc>
        <w:tc>
          <w:tcPr>
            <w:tcW w:w="1162" w:type="dxa"/>
          </w:tcPr>
          <w:p w:rsidR="000E27D1" w:rsidRPr="0087788A" w:rsidRDefault="00A866DA" w:rsidP="000E27D1">
            <w:pPr>
              <w:rPr>
                <w:color w:val="FF0000"/>
              </w:rPr>
            </w:pPr>
            <w:r>
              <w:rPr>
                <w:color w:val="FF0000"/>
              </w:rPr>
              <w:t>15-21/05</w:t>
            </w:r>
          </w:p>
        </w:tc>
        <w:tc>
          <w:tcPr>
            <w:tcW w:w="4192" w:type="dxa"/>
          </w:tcPr>
          <w:p w:rsidR="000E27D1" w:rsidRPr="00C91E8E" w:rsidRDefault="00C91E8E" w:rsidP="00C91E8E">
            <w:pPr>
              <w:pStyle w:val="Indent1"/>
              <w:rPr>
                <w:rFonts w:ascii="Arial" w:hAnsi="Arial" w:cs="Arial"/>
                <w:sz w:val="20"/>
                <w:u w:val="none"/>
                <w:lang w:val="en-GB"/>
              </w:rPr>
            </w:pPr>
            <w:r>
              <w:rPr>
                <w:rFonts w:ascii="Arial" w:hAnsi="Arial" w:cs="Arial"/>
                <w:sz w:val="20"/>
                <w:u w:val="none"/>
                <w:lang w:val="en-GB"/>
              </w:rPr>
              <w:t>Design development.</w:t>
            </w:r>
          </w:p>
        </w:tc>
        <w:tc>
          <w:tcPr>
            <w:tcW w:w="3629" w:type="dxa"/>
          </w:tcPr>
          <w:p w:rsidR="000E27D1" w:rsidRPr="0087788A" w:rsidRDefault="000E27D1" w:rsidP="000E27D1">
            <w:pPr>
              <w:rPr>
                <w:color w:val="FF0000"/>
              </w:rPr>
            </w:pPr>
          </w:p>
        </w:tc>
      </w:tr>
      <w:tr w:rsidR="001E223B" w:rsidRPr="0087788A" w:rsidTr="00552892">
        <w:tc>
          <w:tcPr>
            <w:tcW w:w="1212" w:type="dxa"/>
          </w:tcPr>
          <w:p w:rsidR="001E223B" w:rsidRPr="0087788A" w:rsidRDefault="001E223B" w:rsidP="000E27D1">
            <w:pPr>
              <w:rPr>
                <w:color w:val="FF0000"/>
              </w:rPr>
            </w:pPr>
            <w:r w:rsidRPr="0087788A">
              <w:rPr>
                <w:color w:val="FF0000"/>
              </w:rPr>
              <w:t>Week 10</w:t>
            </w:r>
          </w:p>
        </w:tc>
        <w:tc>
          <w:tcPr>
            <w:tcW w:w="1162" w:type="dxa"/>
          </w:tcPr>
          <w:p w:rsidR="001E223B" w:rsidRPr="0087788A" w:rsidRDefault="001E223B" w:rsidP="000E27D1">
            <w:pPr>
              <w:rPr>
                <w:color w:val="FF0000"/>
              </w:rPr>
            </w:pPr>
            <w:r>
              <w:rPr>
                <w:color w:val="FF0000"/>
              </w:rPr>
              <w:t>22-28/05</w:t>
            </w:r>
          </w:p>
        </w:tc>
        <w:tc>
          <w:tcPr>
            <w:tcW w:w="7821" w:type="dxa"/>
            <w:gridSpan w:val="2"/>
          </w:tcPr>
          <w:p w:rsidR="001E223B" w:rsidRPr="0087788A" w:rsidRDefault="001E223B" w:rsidP="000E27D1">
            <w:pPr>
              <w:rPr>
                <w:color w:val="FF0000"/>
              </w:rPr>
            </w:pPr>
            <w:r>
              <w:rPr>
                <w:rFonts w:cs="Arial"/>
                <w:lang w:val="en-GB"/>
              </w:rPr>
              <w:t>P</w:t>
            </w:r>
            <w:r w:rsidRPr="00F97BFC">
              <w:rPr>
                <w:rFonts w:cs="Arial"/>
                <w:lang w:val="en-GB"/>
              </w:rPr>
              <w:t xml:space="preserve">roduction of the </w:t>
            </w:r>
            <w:r>
              <w:rPr>
                <w:rFonts w:cs="Arial"/>
                <w:lang w:val="en-GB"/>
              </w:rPr>
              <w:t>materials for the final presentation</w:t>
            </w:r>
          </w:p>
        </w:tc>
      </w:tr>
      <w:tr w:rsidR="001E223B" w:rsidRPr="0087788A" w:rsidTr="000A18E4">
        <w:tc>
          <w:tcPr>
            <w:tcW w:w="1212" w:type="dxa"/>
          </w:tcPr>
          <w:p w:rsidR="001E223B" w:rsidRPr="0087788A" w:rsidRDefault="001E223B" w:rsidP="000E27D1">
            <w:pPr>
              <w:rPr>
                <w:color w:val="FF0000"/>
              </w:rPr>
            </w:pPr>
            <w:r w:rsidRPr="0087788A">
              <w:rPr>
                <w:color w:val="FF0000"/>
              </w:rPr>
              <w:t>Week 11</w:t>
            </w:r>
          </w:p>
        </w:tc>
        <w:tc>
          <w:tcPr>
            <w:tcW w:w="1162" w:type="dxa"/>
          </w:tcPr>
          <w:p w:rsidR="001E223B" w:rsidRPr="0087788A" w:rsidRDefault="001E223B" w:rsidP="000E27D1">
            <w:pPr>
              <w:rPr>
                <w:color w:val="FF0000"/>
              </w:rPr>
            </w:pPr>
            <w:r>
              <w:rPr>
                <w:color w:val="FF0000"/>
              </w:rPr>
              <w:t>29/05-4/06</w:t>
            </w:r>
          </w:p>
        </w:tc>
        <w:tc>
          <w:tcPr>
            <w:tcW w:w="7821" w:type="dxa"/>
            <w:gridSpan w:val="2"/>
          </w:tcPr>
          <w:p w:rsidR="001E223B" w:rsidRPr="0087788A" w:rsidRDefault="001E223B" w:rsidP="000E27D1">
            <w:pPr>
              <w:rPr>
                <w:color w:val="FF0000"/>
              </w:rPr>
            </w:pPr>
            <w:r>
              <w:rPr>
                <w:rFonts w:cs="Arial"/>
                <w:lang w:val="en-GB"/>
              </w:rPr>
              <w:t>P</w:t>
            </w:r>
            <w:r w:rsidRPr="00F97BFC">
              <w:rPr>
                <w:rFonts w:cs="Arial"/>
                <w:lang w:val="en-GB"/>
              </w:rPr>
              <w:t xml:space="preserve">roduction of the </w:t>
            </w:r>
            <w:r>
              <w:rPr>
                <w:rFonts w:cs="Arial"/>
                <w:lang w:val="en-GB"/>
              </w:rPr>
              <w:t>materials for the final presentation and critical evaluation of results</w:t>
            </w:r>
          </w:p>
        </w:tc>
      </w:tr>
      <w:tr w:rsidR="00A455FD" w:rsidRPr="0087788A" w:rsidTr="00A455FD">
        <w:tc>
          <w:tcPr>
            <w:tcW w:w="1212" w:type="dxa"/>
            <w:tcBorders>
              <w:bottom w:val="single" w:sz="12" w:space="0" w:color="auto"/>
            </w:tcBorders>
          </w:tcPr>
          <w:p w:rsidR="000E27D1" w:rsidRPr="0087788A" w:rsidRDefault="000E27D1" w:rsidP="000E27D1">
            <w:pPr>
              <w:rPr>
                <w:color w:val="FF0000"/>
              </w:rPr>
            </w:pPr>
            <w:r w:rsidRPr="0087788A">
              <w:rPr>
                <w:color w:val="FF0000"/>
              </w:rPr>
              <w:t>Week 12</w:t>
            </w:r>
          </w:p>
        </w:tc>
        <w:tc>
          <w:tcPr>
            <w:tcW w:w="1162" w:type="dxa"/>
            <w:tcBorders>
              <w:bottom w:val="single" w:sz="12" w:space="0" w:color="auto"/>
            </w:tcBorders>
          </w:tcPr>
          <w:p w:rsidR="000E27D1" w:rsidRPr="0087788A" w:rsidRDefault="00A866DA" w:rsidP="000E27D1">
            <w:pPr>
              <w:rPr>
                <w:color w:val="FF0000"/>
              </w:rPr>
            </w:pPr>
            <w:r>
              <w:rPr>
                <w:color w:val="FF0000"/>
              </w:rPr>
              <w:t>5-11/06</w:t>
            </w:r>
          </w:p>
        </w:tc>
        <w:tc>
          <w:tcPr>
            <w:tcW w:w="4192" w:type="dxa"/>
            <w:tcBorders>
              <w:bottom w:val="single" w:sz="12" w:space="0" w:color="auto"/>
            </w:tcBorders>
          </w:tcPr>
          <w:p w:rsidR="000E27D1" w:rsidRPr="00A866DA" w:rsidRDefault="00F00561" w:rsidP="000E27D1">
            <w:pPr>
              <w:rPr>
                <w:b/>
                <w:color w:val="FF0000"/>
              </w:rPr>
            </w:pPr>
            <w:r w:rsidRPr="00A866DA">
              <w:rPr>
                <w:b/>
                <w:color w:val="FF0000"/>
              </w:rPr>
              <w:t>Final Presentation</w:t>
            </w:r>
          </w:p>
        </w:tc>
        <w:tc>
          <w:tcPr>
            <w:tcW w:w="3629" w:type="dxa"/>
            <w:tcBorders>
              <w:bottom w:val="single" w:sz="12" w:space="0" w:color="auto"/>
            </w:tcBorders>
          </w:tcPr>
          <w:p w:rsidR="000E27D1" w:rsidRPr="0087788A" w:rsidRDefault="000E27D1" w:rsidP="000E27D1">
            <w:pPr>
              <w:rPr>
                <w:color w:val="FF0000"/>
              </w:rPr>
            </w:pPr>
          </w:p>
        </w:tc>
      </w:tr>
    </w:tbl>
    <w:p w:rsidR="0087788A" w:rsidRDefault="0087788A" w:rsidP="002E28E3"/>
    <w:p w:rsidR="0087788A" w:rsidRDefault="0087788A" w:rsidP="002E28E3"/>
    <w:p w:rsidR="002E28E3" w:rsidRDefault="000E27D1" w:rsidP="002E28E3">
      <w:pPr>
        <w:pStyle w:val="Heading2"/>
      </w:pPr>
      <w:r>
        <w:t>7.0</w:t>
      </w:r>
      <w:r>
        <w:tab/>
      </w:r>
      <w:r w:rsidR="002E28E3">
        <w:t xml:space="preserve">LEARNING RESOURCES </w:t>
      </w:r>
    </w:p>
    <w:p w:rsidR="0087788A" w:rsidRDefault="002E28E3" w:rsidP="000E27D1">
      <w:pPr>
        <w:pStyle w:val="Heading3"/>
      </w:pPr>
      <w:r>
        <w:t>7.1</w:t>
      </w:r>
      <w:r>
        <w:tab/>
        <w:t xml:space="preserve">Required Reading </w:t>
      </w:r>
    </w:p>
    <w:p w:rsidR="002E28E3" w:rsidRPr="00F27E69" w:rsidRDefault="007E7E69" w:rsidP="000E27D1">
      <w:pPr>
        <w:pStyle w:val="Heading3"/>
        <w:rPr>
          <w:b w:val="0"/>
        </w:rPr>
      </w:pPr>
      <w:r w:rsidRPr="00F27E69">
        <w:rPr>
          <w:b w:val="0"/>
        </w:rPr>
        <w:t xml:space="preserve">Texts will be provided during studio, according to individual research </w:t>
      </w:r>
    </w:p>
    <w:p w:rsidR="002E28E3" w:rsidRDefault="002E28E3" w:rsidP="002E28E3"/>
    <w:p w:rsidR="001729FD" w:rsidRDefault="002E28E3" w:rsidP="000E27D1">
      <w:pPr>
        <w:pStyle w:val="Heading3"/>
      </w:pPr>
      <w:r>
        <w:t>7.2</w:t>
      </w:r>
      <w:r>
        <w:tab/>
        <w:t xml:space="preserve">Recommended or Supplementary Reading </w:t>
      </w:r>
    </w:p>
    <w:p w:rsidR="007E7E69" w:rsidRPr="001729FD" w:rsidRDefault="007E7E69" w:rsidP="001729FD">
      <w:pPr>
        <w:pStyle w:val="Heading3"/>
        <w:spacing w:before="60"/>
      </w:pPr>
      <w:r w:rsidRPr="007E7E69">
        <w:rPr>
          <w:rStyle w:val="lookup-resultcontent"/>
          <w:rFonts w:cs="Arial"/>
          <w:b w:val="0"/>
        </w:rPr>
        <w:t>Böttger, M., Davidson, D., Kelley, H., Kücklich, J. (2007).</w:t>
      </w:r>
      <w:r w:rsidR="008267F1">
        <w:rPr>
          <w:rStyle w:val="lookup-resultcontent"/>
          <w:rFonts w:cs="Arial"/>
          <w:b w:val="0"/>
        </w:rPr>
        <w:t xml:space="preserve"> </w:t>
      </w:r>
      <w:r w:rsidRPr="007E7E69">
        <w:rPr>
          <w:rStyle w:val="lookup-resultcontent"/>
          <w:rFonts w:cs="Arial"/>
          <w:b w:val="0"/>
          <w:i/>
          <w:iCs/>
        </w:rPr>
        <w:t>Space time play: Computer games, architecture and urbanism - the next level</w:t>
      </w:r>
      <w:r w:rsidR="008267F1">
        <w:rPr>
          <w:rStyle w:val="lookup-resultcontent"/>
          <w:rFonts w:cs="Arial"/>
          <w:b w:val="0"/>
        </w:rPr>
        <w:t>,</w:t>
      </w:r>
      <w:r w:rsidRPr="007E7E69">
        <w:rPr>
          <w:rStyle w:val="lookup-resultcontent"/>
          <w:rFonts w:cs="Arial"/>
          <w:b w:val="0"/>
        </w:rPr>
        <w:t xml:space="preserve"> Basel: Birkhauser Verlag AG.</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Crawford, M. (1992). The World as a Shopping Mall, in Sorkin, M. (ed). Variations on a Theme Park: Scenes from the New American City, New York: Hill and Wang: 3-30</w:t>
      </w:r>
      <w:r w:rsidR="001729FD">
        <w:rPr>
          <w:rFonts w:eastAsia="PMingLiU" w:cs="Arial"/>
          <w:szCs w:val="20"/>
          <w:lang w:eastAsia="zh-CN"/>
        </w:rPr>
        <w:t>.</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Crawford, M. and M. Cenzatti (1993)</w:t>
      </w:r>
      <w:r w:rsidR="002D7196">
        <w:rPr>
          <w:rFonts w:eastAsia="PMingLiU" w:cs="Arial"/>
          <w:szCs w:val="20"/>
          <w:lang w:eastAsia="zh-CN"/>
        </w:rPr>
        <w:t>.</w:t>
      </w:r>
      <w:r w:rsidRPr="007E7E69">
        <w:rPr>
          <w:rFonts w:eastAsia="PMingLiU" w:cs="Arial"/>
          <w:szCs w:val="20"/>
          <w:lang w:eastAsia="zh-CN"/>
        </w:rPr>
        <w:t xml:space="preserve"> Public Spaces and Parallel Worlds, </w:t>
      </w:r>
      <w:r w:rsidRPr="008267F1">
        <w:rPr>
          <w:rFonts w:eastAsia="PMingLiU" w:cs="Arial"/>
          <w:i/>
          <w:szCs w:val="20"/>
          <w:lang w:eastAsia="zh-CN"/>
        </w:rPr>
        <w:t>Casabella</w:t>
      </w:r>
      <w:r w:rsidR="008267F1">
        <w:rPr>
          <w:rFonts w:eastAsia="PMingLiU" w:cs="Arial"/>
          <w:szCs w:val="20"/>
          <w:lang w:eastAsia="zh-CN"/>
        </w:rPr>
        <w:t>,</w:t>
      </w:r>
      <w:r w:rsidRPr="007E7E69">
        <w:rPr>
          <w:rFonts w:eastAsia="PMingLiU" w:cs="Arial"/>
          <w:szCs w:val="20"/>
          <w:lang w:eastAsia="zh-CN"/>
        </w:rPr>
        <w:t xml:space="preserve"> 597-598, January-February.</w:t>
      </w:r>
    </w:p>
    <w:p w:rsidR="007E7E69" w:rsidRPr="007E7E69" w:rsidRDefault="007E7E69" w:rsidP="001729FD">
      <w:pPr>
        <w:autoSpaceDE w:val="0"/>
        <w:autoSpaceDN w:val="0"/>
        <w:adjustRightInd w:val="0"/>
        <w:spacing w:before="60"/>
        <w:rPr>
          <w:rFonts w:eastAsia="PMingLiU" w:cs="Arial"/>
          <w:szCs w:val="20"/>
          <w:lang w:eastAsia="zh-CN"/>
        </w:rPr>
      </w:pPr>
      <w:r w:rsidRPr="001729FD">
        <w:rPr>
          <w:rFonts w:eastAsia="PMingLiU" w:cs="Arial"/>
          <w:szCs w:val="20"/>
          <w:lang w:eastAsia="zh-CN"/>
        </w:rPr>
        <w:t xml:space="preserve">Dehaene, M. </w:t>
      </w:r>
      <w:r w:rsidR="001729FD" w:rsidRPr="001729FD">
        <w:rPr>
          <w:rFonts w:eastAsia="PMingLiU" w:cs="Arial"/>
          <w:szCs w:val="20"/>
          <w:lang w:eastAsia="zh-CN"/>
        </w:rPr>
        <w:t xml:space="preserve">And </w:t>
      </w:r>
      <w:r w:rsidRPr="001729FD">
        <w:rPr>
          <w:rFonts w:eastAsia="PMingLiU" w:cs="Arial"/>
          <w:szCs w:val="20"/>
          <w:lang w:eastAsia="zh-CN"/>
        </w:rPr>
        <w:t>De Cauter, L. ed</w:t>
      </w:r>
      <w:r w:rsidR="008267F1">
        <w:rPr>
          <w:rFonts w:eastAsia="PMingLiU" w:cs="Arial"/>
          <w:szCs w:val="20"/>
          <w:lang w:eastAsia="zh-CN"/>
        </w:rPr>
        <w:t>s.</w:t>
      </w:r>
      <w:r w:rsidRPr="001729FD">
        <w:rPr>
          <w:rFonts w:eastAsia="PMingLiU" w:cs="Arial"/>
          <w:szCs w:val="20"/>
          <w:lang w:eastAsia="zh-CN"/>
        </w:rPr>
        <w:t xml:space="preserve"> (2008). </w:t>
      </w:r>
      <w:r w:rsidR="001729FD" w:rsidRPr="008267F1">
        <w:rPr>
          <w:rFonts w:eastAsia="PMingLiU" w:cs="Arial"/>
          <w:i/>
          <w:szCs w:val="20"/>
          <w:lang w:eastAsia="zh-CN"/>
        </w:rPr>
        <w:t xml:space="preserve">Heterotopia </w:t>
      </w:r>
      <w:r w:rsidRPr="008267F1">
        <w:rPr>
          <w:rFonts w:eastAsia="PMingLiU" w:cs="Arial"/>
          <w:i/>
          <w:szCs w:val="20"/>
          <w:lang w:eastAsia="zh-CN"/>
        </w:rPr>
        <w:t>and the City: Public Space in a Postcivil Society</w:t>
      </w:r>
      <w:r w:rsidR="008267F1">
        <w:rPr>
          <w:rFonts w:eastAsia="PMingLiU" w:cs="Arial"/>
          <w:szCs w:val="20"/>
          <w:lang w:eastAsia="zh-CN"/>
        </w:rPr>
        <w:t xml:space="preserve">, </w:t>
      </w:r>
      <w:r w:rsidR="008267F1" w:rsidRPr="008267F1">
        <w:rPr>
          <w:rFonts w:eastAsia="PMingLiU" w:cs="Arial"/>
          <w:szCs w:val="20"/>
          <w:lang w:eastAsia="zh-CN"/>
        </w:rPr>
        <w:t>London: Routledge</w:t>
      </w:r>
      <w:r w:rsidR="008267F1">
        <w:rPr>
          <w:rFonts w:eastAsia="PMingLiU" w:cs="Arial"/>
          <w:szCs w:val="20"/>
          <w:lang w:eastAsia="zh-CN"/>
        </w:rPr>
        <w:t>.</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Ehrenhalt, A.</w:t>
      </w:r>
      <w:r w:rsidR="001729FD">
        <w:rPr>
          <w:rFonts w:eastAsia="PMingLiU" w:cs="Arial"/>
          <w:szCs w:val="20"/>
          <w:lang w:eastAsia="zh-CN"/>
        </w:rPr>
        <w:t xml:space="preserve"> </w:t>
      </w:r>
      <w:r w:rsidRPr="007E7E69">
        <w:rPr>
          <w:rFonts w:eastAsia="PMingLiU" w:cs="Arial"/>
          <w:szCs w:val="20"/>
          <w:lang w:eastAsia="zh-CN"/>
        </w:rPr>
        <w:t>(2013). The Great Inversion and the Future of the American City, New York: Vintage Books.</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 xml:space="preserve">Garnett, N. (2012). Managing the Urban Commons, </w:t>
      </w:r>
      <w:r w:rsidRPr="008267F1">
        <w:rPr>
          <w:rFonts w:eastAsia="PMingLiU" w:cs="Arial"/>
          <w:i/>
          <w:szCs w:val="20"/>
          <w:lang w:eastAsia="zh-CN"/>
        </w:rPr>
        <w:t>University of Pennsylvania Law Review</w:t>
      </w:r>
      <w:r w:rsidRPr="007E7E69">
        <w:rPr>
          <w:rFonts w:eastAsia="PMingLiU" w:cs="Arial"/>
          <w:szCs w:val="20"/>
          <w:lang w:eastAsia="zh-CN"/>
        </w:rPr>
        <w:t>, 160, 7: 1995-2027.</w:t>
      </w:r>
    </w:p>
    <w:p w:rsidR="007E7E69" w:rsidRPr="007E7E69" w:rsidRDefault="007E7E69" w:rsidP="001729FD">
      <w:pPr>
        <w:pStyle w:val="Footer"/>
        <w:spacing w:before="60" w:line="288" w:lineRule="auto"/>
        <w:rPr>
          <w:rFonts w:cs="Arial"/>
          <w:szCs w:val="20"/>
        </w:rPr>
      </w:pPr>
      <w:r w:rsidRPr="007E7E69">
        <w:rPr>
          <w:rFonts w:cs="Arial"/>
          <w:szCs w:val="20"/>
        </w:rPr>
        <w:t>Gehl, J.</w:t>
      </w:r>
      <w:r w:rsidR="001729FD">
        <w:rPr>
          <w:rFonts w:cs="Arial"/>
          <w:szCs w:val="20"/>
        </w:rPr>
        <w:t xml:space="preserve"> (</w:t>
      </w:r>
      <w:r w:rsidR="001729FD" w:rsidRPr="007E7E69">
        <w:rPr>
          <w:rFonts w:cs="Arial"/>
          <w:szCs w:val="20"/>
        </w:rPr>
        <w:t>1987</w:t>
      </w:r>
      <w:r w:rsidR="001729FD">
        <w:rPr>
          <w:rFonts w:cs="Arial"/>
          <w:szCs w:val="20"/>
        </w:rPr>
        <w:t>).</w:t>
      </w:r>
      <w:r w:rsidR="001729FD" w:rsidRPr="007E7E69">
        <w:rPr>
          <w:rFonts w:cs="Arial"/>
          <w:szCs w:val="20"/>
        </w:rPr>
        <w:t xml:space="preserve"> </w:t>
      </w:r>
      <w:r w:rsidRPr="008267F1">
        <w:rPr>
          <w:rFonts w:cs="Arial"/>
          <w:i/>
          <w:szCs w:val="20"/>
        </w:rPr>
        <w:t>Life between buildings: using public space</w:t>
      </w:r>
      <w:r w:rsidRPr="007E7E69">
        <w:rPr>
          <w:rFonts w:cs="Arial"/>
          <w:szCs w:val="20"/>
        </w:rPr>
        <w:t>, New York: Von Nostrand Reinhold</w:t>
      </w:r>
      <w:r w:rsidR="001729FD">
        <w:rPr>
          <w:rFonts w:cs="Arial"/>
          <w:szCs w:val="20"/>
        </w:rPr>
        <w:t>.</w:t>
      </w:r>
      <w:r w:rsidRPr="007E7E69">
        <w:rPr>
          <w:rFonts w:cs="Arial"/>
          <w:szCs w:val="20"/>
        </w:rPr>
        <w:t xml:space="preserve"> </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 xml:space="preserve">Hodkinson, S. (2012), The new urban enclosures, </w:t>
      </w:r>
      <w:r w:rsidRPr="007E7E69">
        <w:rPr>
          <w:rFonts w:eastAsia="PMingLiU" w:cs="Arial"/>
          <w:i/>
          <w:szCs w:val="20"/>
          <w:lang w:eastAsia="zh-CN"/>
        </w:rPr>
        <w:t>City</w:t>
      </w:r>
      <w:r w:rsidRPr="007E7E69">
        <w:rPr>
          <w:rFonts w:eastAsia="PMingLiU" w:cs="Arial"/>
          <w:szCs w:val="20"/>
          <w:lang w:eastAsia="zh-CN"/>
        </w:rPr>
        <w:t>, 16: 500-518.</w:t>
      </w:r>
    </w:p>
    <w:p w:rsidR="007E7E69" w:rsidRPr="007E7E69" w:rsidRDefault="007E7E69" w:rsidP="001729FD">
      <w:pPr>
        <w:pStyle w:val="Footer"/>
        <w:spacing w:before="60" w:line="288" w:lineRule="auto"/>
        <w:rPr>
          <w:rFonts w:cs="Arial"/>
          <w:szCs w:val="20"/>
        </w:rPr>
      </w:pPr>
      <w:r w:rsidRPr="007E7E69">
        <w:rPr>
          <w:rFonts w:cs="Arial"/>
          <w:szCs w:val="20"/>
        </w:rPr>
        <w:t>Jeffrey, A., McFarlane, C. and Vasudevan, A.</w:t>
      </w:r>
      <w:r w:rsidR="001729FD">
        <w:rPr>
          <w:rFonts w:cs="Arial"/>
          <w:szCs w:val="20"/>
        </w:rPr>
        <w:t xml:space="preserve"> (</w:t>
      </w:r>
      <w:r w:rsidR="001729FD" w:rsidRPr="007E7E69">
        <w:rPr>
          <w:rFonts w:cs="Arial"/>
          <w:szCs w:val="20"/>
        </w:rPr>
        <w:t>2012</w:t>
      </w:r>
      <w:r w:rsidR="001729FD">
        <w:rPr>
          <w:rFonts w:cs="Arial"/>
          <w:szCs w:val="20"/>
        </w:rPr>
        <w:t>).</w:t>
      </w:r>
      <w:r w:rsidR="001729FD" w:rsidRPr="007E7E69">
        <w:rPr>
          <w:rFonts w:cs="Arial"/>
          <w:szCs w:val="20"/>
        </w:rPr>
        <w:t xml:space="preserve"> </w:t>
      </w:r>
      <w:r w:rsidRPr="007E7E69">
        <w:rPr>
          <w:rFonts w:cs="Arial"/>
          <w:szCs w:val="20"/>
        </w:rPr>
        <w:t>Rethinking Enclosure: Spac</w:t>
      </w:r>
      <w:r w:rsidR="008267F1">
        <w:rPr>
          <w:rFonts w:cs="Arial"/>
          <w:szCs w:val="20"/>
        </w:rPr>
        <w:t>e, Subjectivity and the Commons</w:t>
      </w:r>
      <w:r w:rsidRPr="007E7E69">
        <w:rPr>
          <w:rFonts w:cs="Arial"/>
          <w:szCs w:val="20"/>
        </w:rPr>
        <w:t xml:space="preserve">, </w:t>
      </w:r>
      <w:r w:rsidRPr="008267F1">
        <w:rPr>
          <w:rFonts w:cs="Arial"/>
          <w:i/>
          <w:szCs w:val="20"/>
        </w:rPr>
        <w:t>Antipode</w:t>
      </w:r>
      <w:r w:rsidRPr="007E7E69">
        <w:rPr>
          <w:rFonts w:cs="Arial"/>
          <w:szCs w:val="20"/>
        </w:rPr>
        <w:t>, 44, 4</w:t>
      </w:r>
      <w:r w:rsidR="002D7196">
        <w:rPr>
          <w:rFonts w:cs="Arial"/>
          <w:szCs w:val="20"/>
        </w:rPr>
        <w:t xml:space="preserve">, </w:t>
      </w:r>
      <w:r w:rsidRPr="007E7E69">
        <w:rPr>
          <w:rFonts w:cs="Arial"/>
          <w:szCs w:val="20"/>
        </w:rPr>
        <w:t>p. 1247-126.</w:t>
      </w:r>
    </w:p>
    <w:p w:rsidR="007E7E69" w:rsidRPr="007E7E69" w:rsidRDefault="001729FD" w:rsidP="001729FD">
      <w:pPr>
        <w:pStyle w:val="Footer"/>
        <w:spacing w:before="60" w:line="288" w:lineRule="auto"/>
        <w:rPr>
          <w:rFonts w:cs="Arial"/>
          <w:szCs w:val="20"/>
        </w:rPr>
      </w:pPr>
      <w:r>
        <w:rPr>
          <w:rFonts w:cs="Arial"/>
          <w:szCs w:val="20"/>
        </w:rPr>
        <w:t>Kayden, J.S. (</w:t>
      </w:r>
      <w:r w:rsidRPr="007E7E69">
        <w:rPr>
          <w:rFonts w:cs="Arial"/>
          <w:szCs w:val="20"/>
        </w:rPr>
        <w:t>2000</w:t>
      </w:r>
      <w:r>
        <w:rPr>
          <w:rFonts w:cs="Arial"/>
          <w:szCs w:val="20"/>
        </w:rPr>
        <w:t xml:space="preserve">). </w:t>
      </w:r>
      <w:r w:rsidR="007E7E69" w:rsidRPr="008267F1">
        <w:rPr>
          <w:rFonts w:cs="Arial"/>
          <w:i/>
          <w:szCs w:val="20"/>
        </w:rPr>
        <w:t>Privately owned public space: The New York City experience</w:t>
      </w:r>
      <w:r w:rsidR="007E7E69" w:rsidRPr="007E7E69">
        <w:rPr>
          <w:rFonts w:cs="Arial"/>
          <w:szCs w:val="20"/>
        </w:rPr>
        <w:t xml:space="preserve">, </w:t>
      </w:r>
      <w:r w:rsidR="008267F1">
        <w:rPr>
          <w:rFonts w:cs="Arial"/>
          <w:szCs w:val="20"/>
        </w:rPr>
        <w:t xml:space="preserve">New York: </w:t>
      </w:r>
      <w:r w:rsidR="007E7E69" w:rsidRPr="007E7E69">
        <w:rPr>
          <w:rFonts w:cs="Arial"/>
          <w:szCs w:val="20"/>
        </w:rPr>
        <w:t>The New York City Department of City Planning, the M</w:t>
      </w:r>
      <w:r>
        <w:rPr>
          <w:rFonts w:cs="Arial"/>
          <w:szCs w:val="20"/>
        </w:rPr>
        <w:t>unicipal Art Society of New Yor</w:t>
      </w:r>
      <w:r w:rsidR="002D7196">
        <w:rPr>
          <w:rFonts w:cs="Arial"/>
          <w:szCs w:val="20"/>
        </w:rPr>
        <w:t>k</w:t>
      </w:r>
      <w:r>
        <w:rPr>
          <w:rFonts w:cs="Arial"/>
          <w:szCs w:val="20"/>
        </w:rPr>
        <w:t>.</w:t>
      </w:r>
      <w:r w:rsidR="007E7E69" w:rsidRPr="007E7E69">
        <w:rPr>
          <w:rFonts w:cs="Arial"/>
          <w:szCs w:val="20"/>
        </w:rPr>
        <w:t xml:space="preserve"> </w:t>
      </w:r>
    </w:p>
    <w:p w:rsidR="007E7E69" w:rsidRPr="007E7E69" w:rsidRDefault="007E7E69" w:rsidP="001729FD">
      <w:pPr>
        <w:pStyle w:val="Footer"/>
        <w:spacing w:before="60" w:line="288" w:lineRule="auto"/>
        <w:rPr>
          <w:rFonts w:cs="Arial"/>
          <w:szCs w:val="20"/>
        </w:rPr>
      </w:pPr>
      <w:r w:rsidRPr="007E7E69">
        <w:rPr>
          <w:rFonts w:cs="Arial"/>
          <w:szCs w:val="20"/>
        </w:rPr>
        <w:t>Koolhaas, R</w:t>
      </w:r>
      <w:r w:rsidR="001729FD">
        <w:rPr>
          <w:rFonts w:cs="Arial"/>
          <w:szCs w:val="20"/>
        </w:rPr>
        <w:t>. (1</w:t>
      </w:r>
      <w:r w:rsidR="001729FD" w:rsidRPr="007E7E69">
        <w:rPr>
          <w:rFonts w:cs="Arial"/>
          <w:szCs w:val="20"/>
        </w:rPr>
        <w:t>994</w:t>
      </w:r>
      <w:r w:rsidR="001729FD">
        <w:rPr>
          <w:rFonts w:cs="Arial"/>
          <w:szCs w:val="20"/>
        </w:rPr>
        <w:t>).</w:t>
      </w:r>
      <w:r w:rsidRPr="007E7E69">
        <w:rPr>
          <w:rFonts w:cs="Arial"/>
          <w:szCs w:val="20"/>
        </w:rPr>
        <w:t xml:space="preserve"> Delirious New York: a retroactive manifesto for Manhattan, New York: Monacelli Press. </w:t>
      </w:r>
    </w:p>
    <w:p w:rsidR="003A5273" w:rsidRDefault="007E7E69" w:rsidP="001729FD">
      <w:pPr>
        <w:pStyle w:val="Footer"/>
        <w:spacing w:before="60" w:line="288" w:lineRule="auto"/>
        <w:rPr>
          <w:rFonts w:cs="Arial"/>
          <w:szCs w:val="20"/>
        </w:rPr>
      </w:pPr>
      <w:r w:rsidRPr="007E7E69">
        <w:rPr>
          <w:rFonts w:cs="Arial"/>
          <w:szCs w:val="20"/>
        </w:rPr>
        <w:t>Lehnerer, A.</w:t>
      </w:r>
      <w:r w:rsidR="001729FD">
        <w:rPr>
          <w:rFonts w:cs="Arial"/>
          <w:szCs w:val="20"/>
        </w:rPr>
        <w:t xml:space="preserve"> (</w:t>
      </w:r>
      <w:r w:rsidR="001729FD" w:rsidRPr="007E7E69">
        <w:rPr>
          <w:rFonts w:cs="Arial"/>
          <w:szCs w:val="20"/>
        </w:rPr>
        <w:t>2009</w:t>
      </w:r>
      <w:r w:rsidR="001729FD">
        <w:rPr>
          <w:rFonts w:cs="Arial"/>
          <w:szCs w:val="20"/>
        </w:rPr>
        <w:t xml:space="preserve">). </w:t>
      </w:r>
      <w:r w:rsidRPr="002D7196">
        <w:rPr>
          <w:rFonts w:cs="Arial"/>
          <w:i/>
          <w:szCs w:val="20"/>
        </w:rPr>
        <w:t>Grand Urban Rules</w:t>
      </w:r>
      <w:r w:rsidRPr="007E7E69">
        <w:rPr>
          <w:rFonts w:cs="Arial"/>
          <w:szCs w:val="20"/>
        </w:rPr>
        <w:t>, Rotterdam: NAI 010</w:t>
      </w:r>
      <w:r w:rsidR="001729FD">
        <w:rPr>
          <w:rFonts w:cs="Arial"/>
          <w:szCs w:val="20"/>
        </w:rPr>
        <w:t>.</w:t>
      </w:r>
      <w:r w:rsidRPr="007E7E69">
        <w:rPr>
          <w:rFonts w:cs="Arial"/>
          <w:szCs w:val="20"/>
        </w:rPr>
        <w:t xml:space="preserve"> </w:t>
      </w:r>
    </w:p>
    <w:p w:rsidR="001729FD" w:rsidRPr="001729FD" w:rsidRDefault="001729FD" w:rsidP="001729FD">
      <w:pPr>
        <w:pStyle w:val="Footer"/>
        <w:spacing w:before="60" w:line="288" w:lineRule="auto"/>
        <w:rPr>
          <w:rFonts w:eastAsia="Times New Roman" w:cs="Arial"/>
          <w:szCs w:val="20"/>
          <w:lang w:eastAsia="en-NZ"/>
        </w:rPr>
      </w:pPr>
      <w:r w:rsidRPr="001729FD">
        <w:rPr>
          <w:rStyle w:val="nlmstring-name"/>
          <w:rFonts w:cs="Arial"/>
          <w:sz w:val="21"/>
          <w:szCs w:val="21"/>
          <w:shd w:val="clear" w:color="auto" w:fill="FFFFFF"/>
        </w:rPr>
        <w:t>Massey, D.</w:t>
      </w:r>
      <w:r>
        <w:rPr>
          <w:rStyle w:val="nlmstring-name"/>
          <w:rFonts w:cs="Arial"/>
          <w:sz w:val="21"/>
          <w:szCs w:val="21"/>
          <w:shd w:val="clear" w:color="auto" w:fill="FFFFFF"/>
        </w:rPr>
        <w:t xml:space="preserve"> </w:t>
      </w:r>
      <w:r w:rsidRPr="001729FD">
        <w:rPr>
          <w:rFonts w:cs="Arial"/>
          <w:sz w:val="21"/>
          <w:szCs w:val="21"/>
          <w:shd w:val="clear" w:color="auto" w:fill="FFFFFF"/>
        </w:rPr>
        <w:t>(</w:t>
      </w:r>
      <w:r w:rsidRPr="001729FD">
        <w:rPr>
          <w:rStyle w:val="nlmyear"/>
          <w:rFonts w:cs="Arial"/>
          <w:sz w:val="21"/>
          <w:szCs w:val="21"/>
          <w:shd w:val="clear" w:color="auto" w:fill="FFFFFF"/>
        </w:rPr>
        <w:t>2005</w:t>
      </w:r>
      <w:r w:rsidRPr="001729FD">
        <w:rPr>
          <w:rFonts w:cs="Arial"/>
          <w:sz w:val="21"/>
          <w:szCs w:val="21"/>
          <w:shd w:val="clear" w:color="auto" w:fill="FFFFFF"/>
        </w:rPr>
        <w:t xml:space="preserve">) </w:t>
      </w:r>
      <w:r w:rsidRPr="001729FD">
        <w:rPr>
          <w:rFonts w:cs="Arial"/>
          <w:i/>
          <w:sz w:val="21"/>
          <w:szCs w:val="21"/>
          <w:shd w:val="clear" w:color="auto" w:fill="FFFFFF"/>
        </w:rPr>
        <w:t>For Space</w:t>
      </w:r>
      <w:r w:rsidRPr="001729FD">
        <w:rPr>
          <w:rFonts w:cs="Arial"/>
          <w:sz w:val="21"/>
          <w:szCs w:val="21"/>
          <w:shd w:val="clear" w:color="auto" w:fill="FFFFFF"/>
        </w:rPr>
        <w:t>.</w:t>
      </w:r>
      <w:r>
        <w:rPr>
          <w:rFonts w:cs="Arial"/>
          <w:sz w:val="21"/>
          <w:szCs w:val="21"/>
          <w:shd w:val="clear" w:color="auto" w:fill="FFFFFF"/>
        </w:rPr>
        <w:t xml:space="preserve"> </w:t>
      </w:r>
      <w:r w:rsidRPr="001729FD">
        <w:rPr>
          <w:rStyle w:val="nlmpublisher-loc"/>
          <w:rFonts w:cs="Arial"/>
          <w:sz w:val="21"/>
          <w:szCs w:val="21"/>
          <w:shd w:val="clear" w:color="auto" w:fill="FFFFFF"/>
        </w:rPr>
        <w:t>London</w:t>
      </w:r>
      <w:r w:rsidRPr="001729FD">
        <w:rPr>
          <w:rFonts w:cs="Arial"/>
          <w:sz w:val="21"/>
          <w:szCs w:val="21"/>
          <w:shd w:val="clear" w:color="auto" w:fill="FFFFFF"/>
        </w:rPr>
        <w:t>:</w:t>
      </w:r>
      <w:r>
        <w:rPr>
          <w:rFonts w:cs="Arial"/>
          <w:sz w:val="21"/>
          <w:szCs w:val="21"/>
          <w:shd w:val="clear" w:color="auto" w:fill="FFFFFF"/>
        </w:rPr>
        <w:t xml:space="preserve"> </w:t>
      </w:r>
      <w:r w:rsidRPr="001729FD">
        <w:rPr>
          <w:rStyle w:val="nlmpublisher-name"/>
          <w:rFonts w:cs="Arial"/>
          <w:sz w:val="21"/>
          <w:szCs w:val="21"/>
          <w:shd w:val="clear" w:color="auto" w:fill="FFFFFF"/>
        </w:rPr>
        <w:t>SAGE</w:t>
      </w:r>
      <w:r>
        <w:rPr>
          <w:rStyle w:val="nlmpublisher-name"/>
          <w:rFonts w:cs="Arial"/>
          <w:sz w:val="21"/>
          <w:szCs w:val="21"/>
          <w:shd w:val="clear" w:color="auto" w:fill="FFFFFF"/>
        </w:rPr>
        <w:t>.</w:t>
      </w:r>
    </w:p>
    <w:p w:rsidR="007E7E69" w:rsidRPr="003A5273" w:rsidRDefault="003A5273" w:rsidP="001729FD">
      <w:pPr>
        <w:pStyle w:val="Footer"/>
        <w:spacing w:before="60" w:line="288" w:lineRule="auto"/>
        <w:rPr>
          <w:rFonts w:cs="Arial"/>
          <w:szCs w:val="20"/>
        </w:rPr>
      </w:pPr>
      <w:r w:rsidRPr="003A5273">
        <w:rPr>
          <w:rFonts w:eastAsia="Times New Roman" w:cs="Arial"/>
          <w:szCs w:val="20"/>
          <w:lang w:eastAsia="en-NZ"/>
        </w:rPr>
        <w:t>Mould, O. (2015).</w:t>
      </w:r>
      <w:r w:rsidR="001729FD">
        <w:rPr>
          <w:rFonts w:eastAsia="Times New Roman" w:cs="Arial"/>
          <w:szCs w:val="20"/>
          <w:lang w:eastAsia="en-NZ"/>
        </w:rPr>
        <w:t xml:space="preserve"> </w:t>
      </w:r>
      <w:r w:rsidRPr="003A5273">
        <w:rPr>
          <w:rFonts w:eastAsia="Times New Roman" w:cs="Arial"/>
          <w:i/>
          <w:iCs/>
          <w:szCs w:val="20"/>
          <w:lang w:eastAsia="en-NZ"/>
        </w:rPr>
        <w:t>Urban subversion and the creative city</w:t>
      </w:r>
      <w:r w:rsidRPr="003A5273">
        <w:rPr>
          <w:rFonts w:eastAsia="Times New Roman" w:cs="Arial"/>
          <w:szCs w:val="20"/>
          <w:lang w:eastAsia="en-NZ"/>
        </w:rPr>
        <w:t xml:space="preserve">. </w:t>
      </w:r>
      <w:r w:rsidR="008267F1" w:rsidRPr="008267F1">
        <w:rPr>
          <w:rFonts w:eastAsia="PMingLiU" w:cs="Arial"/>
          <w:szCs w:val="20"/>
          <w:lang w:eastAsia="zh-CN"/>
        </w:rPr>
        <w:t xml:space="preserve">London: </w:t>
      </w:r>
      <w:r w:rsidRPr="003A5273">
        <w:rPr>
          <w:rFonts w:eastAsia="Times New Roman" w:cs="Arial"/>
          <w:szCs w:val="20"/>
          <w:lang w:eastAsia="en-NZ"/>
        </w:rPr>
        <w:t>Routledge.</w:t>
      </w:r>
    </w:p>
    <w:p w:rsidR="007E7E69" w:rsidRPr="007E7E69" w:rsidRDefault="007E7E69" w:rsidP="001729FD">
      <w:pPr>
        <w:autoSpaceDE w:val="0"/>
        <w:autoSpaceDN w:val="0"/>
        <w:adjustRightInd w:val="0"/>
        <w:spacing w:before="60"/>
        <w:rPr>
          <w:rFonts w:eastAsia="PMingLiU" w:cs="Arial"/>
          <w:szCs w:val="20"/>
          <w:lang w:eastAsia="zh-CN"/>
        </w:rPr>
      </w:pPr>
      <w:r w:rsidRPr="007E7E69">
        <w:rPr>
          <w:rFonts w:eastAsia="PMingLiU" w:cs="Arial"/>
          <w:szCs w:val="20"/>
          <w:lang w:eastAsia="zh-CN"/>
        </w:rPr>
        <w:t>S</w:t>
      </w:r>
      <w:r w:rsidR="001729FD">
        <w:rPr>
          <w:rFonts w:eastAsia="PMingLiU" w:cs="Arial"/>
          <w:szCs w:val="20"/>
          <w:lang w:eastAsia="zh-CN"/>
        </w:rPr>
        <w:t xml:space="preserve">ecchi, B. (2011). Isotropy vs. </w:t>
      </w:r>
      <w:r w:rsidR="008267F1">
        <w:rPr>
          <w:rFonts w:eastAsia="PMingLiU" w:cs="Arial"/>
          <w:szCs w:val="20"/>
          <w:lang w:eastAsia="zh-CN"/>
        </w:rPr>
        <w:t>Hierarchy</w:t>
      </w:r>
      <w:r w:rsidRPr="007E7E69">
        <w:rPr>
          <w:rFonts w:eastAsia="PMingLiU" w:cs="Arial"/>
          <w:szCs w:val="20"/>
          <w:lang w:eastAsia="zh-CN"/>
        </w:rPr>
        <w:t xml:space="preserve">, </w:t>
      </w:r>
      <w:r w:rsidRPr="008267F1">
        <w:rPr>
          <w:rFonts w:eastAsia="PMingLiU" w:cs="Arial"/>
          <w:i/>
          <w:szCs w:val="20"/>
          <w:lang w:eastAsia="zh-CN"/>
        </w:rPr>
        <w:t>Landscapes of Urbanism</w:t>
      </w:r>
      <w:r w:rsidRPr="007E7E69">
        <w:rPr>
          <w:rFonts w:eastAsia="PMingLiU" w:cs="Arial"/>
          <w:szCs w:val="20"/>
          <w:lang w:eastAsia="zh-CN"/>
        </w:rPr>
        <w:t>, Q5: 168-171.</w:t>
      </w:r>
    </w:p>
    <w:p w:rsidR="007E7E69" w:rsidRPr="007E7E69" w:rsidRDefault="007E7E69" w:rsidP="001729FD">
      <w:pPr>
        <w:pStyle w:val="Footer"/>
        <w:spacing w:before="60" w:line="288" w:lineRule="auto"/>
        <w:rPr>
          <w:rFonts w:cs="Arial"/>
          <w:szCs w:val="20"/>
        </w:rPr>
      </w:pPr>
      <w:r w:rsidRPr="007E7E69">
        <w:rPr>
          <w:rFonts w:cs="Arial"/>
          <w:szCs w:val="20"/>
        </w:rPr>
        <w:t>Shane, D.G.</w:t>
      </w:r>
      <w:r w:rsidR="002D7196" w:rsidRPr="002D7196">
        <w:rPr>
          <w:rFonts w:cs="Arial"/>
          <w:szCs w:val="20"/>
        </w:rPr>
        <w:t xml:space="preserve"> </w:t>
      </w:r>
      <w:r w:rsidR="002D7196">
        <w:rPr>
          <w:rFonts w:cs="Arial"/>
          <w:szCs w:val="20"/>
        </w:rPr>
        <w:t>(</w:t>
      </w:r>
      <w:r w:rsidR="002D7196" w:rsidRPr="007E7E69">
        <w:rPr>
          <w:rFonts w:cs="Arial"/>
          <w:szCs w:val="20"/>
        </w:rPr>
        <w:t>2005</w:t>
      </w:r>
      <w:r w:rsidR="002D7196">
        <w:rPr>
          <w:rFonts w:cs="Arial"/>
          <w:szCs w:val="20"/>
        </w:rPr>
        <w:t>).</w:t>
      </w:r>
      <w:r w:rsidRPr="007E7E69">
        <w:rPr>
          <w:rFonts w:cs="Arial"/>
          <w:szCs w:val="20"/>
        </w:rPr>
        <w:t xml:space="preserve"> </w:t>
      </w:r>
      <w:r w:rsidRPr="002D7196">
        <w:rPr>
          <w:rFonts w:cs="Arial"/>
          <w:i/>
          <w:szCs w:val="20"/>
        </w:rPr>
        <w:t>Recombinant Urbanism: Conceptual Modeling in Architecture, Urban Design, and City Theory</w:t>
      </w:r>
      <w:r w:rsidRPr="007E7E69">
        <w:rPr>
          <w:rFonts w:cs="Arial"/>
          <w:szCs w:val="20"/>
        </w:rPr>
        <w:t>, London: Wiley-Academy.</w:t>
      </w:r>
    </w:p>
    <w:p w:rsidR="001729FD" w:rsidRPr="001729FD" w:rsidRDefault="001729FD" w:rsidP="001729FD">
      <w:pPr>
        <w:shd w:val="clear" w:color="auto" w:fill="FFFFFF"/>
        <w:spacing w:before="60"/>
        <w:rPr>
          <w:rStyle w:val="publication-meta-journal"/>
          <w:rFonts w:cs="Arial"/>
          <w:szCs w:val="20"/>
        </w:rPr>
      </w:pPr>
      <w:r w:rsidRPr="001729FD">
        <w:rPr>
          <w:rFonts w:cs="Arial"/>
          <w:szCs w:val="20"/>
        </w:rPr>
        <w:t xml:space="preserve">Swyngedouw, E. (2000). </w:t>
      </w:r>
      <w:r w:rsidRPr="001729FD">
        <w:rPr>
          <w:rFonts w:cs="Arial"/>
          <w:bCs/>
          <w:szCs w:val="20"/>
        </w:rPr>
        <w:t xml:space="preserve">Authoritarian Governance, Power, and the Politics of Rescaling, </w:t>
      </w:r>
      <w:r w:rsidRPr="001729FD">
        <w:rPr>
          <w:rStyle w:val="publication-meta-journal"/>
          <w:rFonts w:cs="Arial"/>
          <w:i/>
          <w:szCs w:val="20"/>
        </w:rPr>
        <w:t>Environment and Planning D</w:t>
      </w:r>
      <w:r>
        <w:rPr>
          <w:rStyle w:val="publication-meta-journal"/>
          <w:rFonts w:cs="Arial"/>
          <w:i/>
          <w:szCs w:val="20"/>
        </w:rPr>
        <w:t>,</w:t>
      </w:r>
      <w:r w:rsidRPr="001729FD">
        <w:rPr>
          <w:rStyle w:val="publication-meta-journal"/>
          <w:rFonts w:cs="Arial"/>
          <w:i/>
          <w:szCs w:val="20"/>
        </w:rPr>
        <w:t xml:space="preserve"> Society and Space</w:t>
      </w:r>
      <w:r w:rsidRPr="001729FD">
        <w:rPr>
          <w:rStyle w:val="publication-meta-journal"/>
          <w:rFonts w:cs="Arial"/>
          <w:szCs w:val="20"/>
        </w:rPr>
        <w:t>, 18(1):63-76</w:t>
      </w:r>
    </w:p>
    <w:p w:rsidR="007E7E69" w:rsidRPr="007E7E69" w:rsidRDefault="007E7E69" w:rsidP="001729FD">
      <w:pPr>
        <w:spacing w:before="60"/>
        <w:jc w:val="left"/>
        <w:rPr>
          <w:rStyle w:val="lookup-resultcontent"/>
          <w:rFonts w:cs="Arial"/>
        </w:rPr>
      </w:pPr>
      <w:r w:rsidRPr="007E7E69">
        <w:rPr>
          <w:rStyle w:val="lookup-resultcontent"/>
          <w:rFonts w:cs="Arial"/>
        </w:rPr>
        <w:t>Totten, C. W. (2014).</w:t>
      </w:r>
      <w:r w:rsidR="001729FD">
        <w:rPr>
          <w:rStyle w:val="apple-converted-space"/>
          <w:rFonts w:cs="Arial"/>
        </w:rPr>
        <w:t xml:space="preserve"> </w:t>
      </w:r>
      <w:r w:rsidRPr="007E7E69">
        <w:rPr>
          <w:rStyle w:val="lookup-resultcontent"/>
          <w:rFonts w:cs="Arial"/>
          <w:i/>
          <w:iCs/>
        </w:rPr>
        <w:t>An architectural approach to level design</w:t>
      </w:r>
      <w:r w:rsidRPr="007E7E69">
        <w:rPr>
          <w:rStyle w:val="lookup-resultcontent"/>
          <w:rFonts w:cs="Arial"/>
        </w:rPr>
        <w:t>. Boca Raton, FL, United States: A K Peters.</w:t>
      </w:r>
      <w:r w:rsidRPr="007E7E69">
        <w:rPr>
          <w:rStyle w:val="lookup-resultcontent"/>
          <w:rFonts w:cs="Arial"/>
        </w:rPr>
        <w:br/>
        <w:t xml:space="preserve">Walz, S. P., </w:t>
      </w:r>
      <w:r>
        <w:rPr>
          <w:rStyle w:val="lookup-resultcontent"/>
          <w:rFonts w:cs="Arial"/>
        </w:rPr>
        <w:t xml:space="preserve">and </w:t>
      </w:r>
      <w:r w:rsidRPr="007E7E69">
        <w:rPr>
          <w:rStyle w:val="lookup-resultcontent"/>
          <w:rFonts w:cs="Arial"/>
        </w:rPr>
        <w:t>Dessler, J. J. (2010).</w:t>
      </w:r>
      <w:r w:rsidR="001729FD">
        <w:rPr>
          <w:rStyle w:val="apple-converted-space"/>
          <w:rFonts w:cs="Arial"/>
        </w:rPr>
        <w:t xml:space="preserve"> T</w:t>
      </w:r>
      <w:r w:rsidRPr="007E7E69">
        <w:rPr>
          <w:rStyle w:val="lookup-resultcontent"/>
          <w:rFonts w:cs="Arial"/>
          <w:i/>
          <w:iCs/>
        </w:rPr>
        <w:t>oward a ludic architecture: The space of play and games</w:t>
      </w:r>
      <w:r w:rsidRPr="007E7E69">
        <w:rPr>
          <w:rStyle w:val="lookup-resultcontent"/>
          <w:rFonts w:cs="Arial"/>
        </w:rPr>
        <w:t>. Pittsburgh, PA: ETC Press.</w:t>
      </w:r>
    </w:p>
    <w:p w:rsidR="002E28E3" w:rsidRDefault="002E28E3" w:rsidP="002E28E3"/>
    <w:p w:rsidR="002E28E3" w:rsidRDefault="002E28E3" w:rsidP="000E27D1">
      <w:pPr>
        <w:pStyle w:val="Heading3"/>
      </w:pPr>
      <w:r>
        <w:t>7.3</w:t>
      </w:r>
      <w:r>
        <w:tab/>
        <w:t>Other Materials or Software</w:t>
      </w:r>
    </w:p>
    <w:p w:rsidR="002E28E3" w:rsidRDefault="002E28E3" w:rsidP="002E28E3"/>
    <w:p w:rsidR="0087788A" w:rsidRDefault="002E28E3" w:rsidP="000E27D1">
      <w:pPr>
        <w:pStyle w:val="Heading3"/>
      </w:pPr>
      <w:r>
        <w:t>7.4</w:t>
      </w:r>
      <w:r>
        <w:tab/>
        <w:t xml:space="preserve">Use of </w:t>
      </w:r>
      <w:r w:rsidR="008C0437">
        <w:t>Canvas</w:t>
      </w:r>
      <w:r>
        <w:t xml:space="preserve"> </w:t>
      </w:r>
    </w:p>
    <w:p w:rsidR="002E28E3" w:rsidRPr="00A866DA" w:rsidRDefault="00C91E8E" w:rsidP="00A866DA">
      <w:r w:rsidRPr="00A866DA">
        <w:t>Digital communication and access to digital materials will occur through Canvas</w:t>
      </w:r>
    </w:p>
    <w:p w:rsidR="002E28E3" w:rsidRDefault="002E28E3" w:rsidP="002E28E3"/>
    <w:p w:rsidR="002E28E3" w:rsidRDefault="002E28E3" w:rsidP="000E27D1">
      <w:pPr>
        <w:pStyle w:val="Heading3"/>
      </w:pPr>
      <w:r>
        <w:t xml:space="preserve">7.5 </w:t>
      </w:r>
      <w:r>
        <w:tab/>
        <w:t>Other Assistance / Student Support Available</w:t>
      </w:r>
    </w:p>
    <w:p w:rsidR="002E28E3" w:rsidRDefault="002E28E3" w:rsidP="002E28E3"/>
    <w:p w:rsidR="002E28E3" w:rsidRDefault="002E28E3" w:rsidP="000E27D1">
      <w:pPr>
        <w:pStyle w:val="Heading2"/>
      </w:pPr>
      <w:r>
        <w:t>8.0</w:t>
      </w:r>
      <w:r>
        <w:tab/>
        <w:t xml:space="preserve">INCLUSIVE LEARNING </w:t>
      </w:r>
    </w:p>
    <w:p w:rsidR="002E28E3" w:rsidRDefault="002E28E3" w:rsidP="002E28E3">
      <w:r>
        <w:t>Students are urged to discuss privately any impairment-related requirements face-to-face and/or in written form with the course convenor/lecturer and/or tutor.</w:t>
      </w:r>
    </w:p>
    <w:p w:rsidR="002E28E3" w:rsidRDefault="002E28E3" w:rsidP="000E27D1">
      <w:pPr>
        <w:pStyle w:val="Heading2"/>
      </w:pPr>
      <w:r>
        <w:t>9.0</w:t>
      </w:r>
      <w:r>
        <w:tab/>
        <w:t>OTHER INFORMATION</w:t>
      </w:r>
    </w:p>
    <w:p w:rsidR="002E28E3" w:rsidRDefault="00A866DA" w:rsidP="002E28E3">
      <w:r w:rsidRPr="00AA2D21">
        <w:rPr>
          <w:rFonts w:cs="Arial"/>
          <w:szCs w:val="20"/>
        </w:rPr>
        <w:t>Students are expected to attend all studio hours, actively participate in the class life and timey prepare analytical and creative documentation according to the teaching schedule, making them</w:t>
      </w:r>
      <w:r>
        <w:rPr>
          <w:rFonts w:cs="Arial"/>
          <w:szCs w:val="20"/>
        </w:rPr>
        <w:t xml:space="preserve"> available to tutors and class.</w:t>
      </w:r>
    </w:p>
    <w:p w:rsidR="002E28E3" w:rsidRDefault="002E28E3" w:rsidP="000E27D1">
      <w:pPr>
        <w:pStyle w:val="Heading2"/>
      </w:pPr>
      <w:r>
        <w:t>10.0</w:t>
      </w:r>
      <w:r>
        <w:tab/>
        <w:t>ASSESSMENT</w:t>
      </w:r>
    </w:p>
    <w:p w:rsidR="002E28E3" w:rsidRDefault="002E28E3" w:rsidP="000E27D1">
      <w:pPr>
        <w:pStyle w:val="Heading3"/>
      </w:pPr>
      <w:r>
        <w:t>10.1</w:t>
      </w:r>
      <w:r>
        <w:tab/>
        <w:t>Method of Assessment</w:t>
      </w:r>
    </w:p>
    <w:p w:rsidR="0087788A" w:rsidRPr="00EB7A28" w:rsidRDefault="0087788A" w:rsidP="0087788A">
      <w:pPr>
        <w:tabs>
          <w:tab w:val="right" w:pos="10461"/>
        </w:tabs>
        <w:contextualSpacing/>
        <w:rPr>
          <w:rFonts w:eastAsia="Dotum" w:cs="Arial"/>
          <w:color w:val="FF0000"/>
          <w:szCs w:val="20"/>
        </w:rPr>
      </w:pPr>
      <w:r w:rsidRPr="00EB7A28">
        <w:rPr>
          <w:rFonts w:eastAsia="Dotum" w:cs="Arial"/>
          <w:szCs w:val="20"/>
        </w:rPr>
        <w:t>100% coursework</w:t>
      </w:r>
    </w:p>
    <w:p w:rsidR="0087788A" w:rsidRPr="00EB7A28" w:rsidRDefault="0087788A" w:rsidP="0087788A">
      <w:pPr>
        <w:autoSpaceDE w:val="0"/>
        <w:autoSpaceDN w:val="0"/>
        <w:adjustRightInd w:val="0"/>
        <w:rPr>
          <w:rFonts w:cs="Arial"/>
          <w:color w:val="1A171B"/>
          <w:szCs w:val="20"/>
          <w:lang w:eastAsia="en-GB"/>
        </w:rPr>
      </w:pPr>
      <w:r w:rsidRPr="00EB7A28">
        <w:rPr>
          <w:rFonts w:cs="Arial"/>
          <w:color w:val="1A171B"/>
          <w:szCs w:val="20"/>
          <w:lang w:eastAsia="en-GB"/>
        </w:rPr>
        <w:t>All student work is assessed by the named staff member(s) offering each course topic, who are appointed as examiners. Provisional grades are confirmed at an examiners’ review of the work of all students in that particular design course, in order to ensure parity of grading standards across course topics. All marks are indicative until confirmed in the De</w:t>
      </w:r>
      <w:r>
        <w:rPr>
          <w:rFonts w:cs="Arial"/>
          <w:color w:val="1A171B"/>
          <w:szCs w:val="20"/>
          <w:lang w:eastAsia="en-GB"/>
        </w:rPr>
        <w:t>sign Grading Moderation Review.</w:t>
      </w:r>
    </w:p>
    <w:p w:rsidR="002E28E3" w:rsidRDefault="002E28E3" w:rsidP="002E28E3"/>
    <w:p w:rsidR="002E28E3" w:rsidRDefault="002E28E3" w:rsidP="000E27D1">
      <w:pPr>
        <w:pStyle w:val="Heading3"/>
      </w:pPr>
      <w:r>
        <w:t>10.2</w:t>
      </w:r>
      <w:r>
        <w:tab/>
        <w:t>Assessment Criteria</w:t>
      </w:r>
    </w:p>
    <w:p w:rsidR="002E28E3" w:rsidRDefault="002E28E3" w:rsidP="002E28E3">
      <w:r>
        <w:t>Detailed information on assignment format and assessment criteria are provided below. The grading of work is based on the NICAI Grade Descriptors printed on the Faculty website:</w:t>
      </w:r>
      <w:r w:rsidR="00FA09F3">
        <w:t xml:space="preserve"> </w:t>
      </w:r>
      <w:hyperlink r:id="rId10" w:history="1">
        <w:r w:rsidR="00FA09F3" w:rsidRPr="00820215">
          <w:rPr>
            <w:rStyle w:val="Hyperlink"/>
          </w:rPr>
          <w:t>https://cdn.auckland.ac.nz/assets/creative/for/current-students/course-planning-enrolment/Planning-and-enrolment-assets/NICAI%20grade%20descriptors.pdf</w:t>
        </w:r>
      </w:hyperlink>
      <w:r>
        <w:t>.</w:t>
      </w:r>
    </w:p>
    <w:p w:rsidR="003D6DF2" w:rsidRDefault="003D6DF2" w:rsidP="003D6DF2"/>
    <w:p w:rsidR="003D6DF2" w:rsidRPr="00423203" w:rsidRDefault="003D6DF2" w:rsidP="003D6DF2">
      <w:pPr>
        <w:pStyle w:val="Footer"/>
        <w:ind w:left="426" w:hanging="426"/>
        <w:rPr>
          <w:rFonts w:cs="Arial"/>
          <w:szCs w:val="20"/>
        </w:rPr>
      </w:pPr>
      <w:r w:rsidRPr="00A357AF">
        <w:rPr>
          <w:rFonts w:cs="Arial"/>
          <w:szCs w:val="20"/>
        </w:rPr>
        <w:t xml:space="preserve">In addition to the criteria set out in the School handbook, assessment will be based on the </w:t>
      </w:r>
      <w:r w:rsidRPr="00423203">
        <w:rPr>
          <w:rFonts w:cs="Arial"/>
          <w:szCs w:val="20"/>
        </w:rPr>
        <w:t>following:</w:t>
      </w:r>
    </w:p>
    <w:p w:rsidR="003D6DF2" w:rsidRPr="00423203" w:rsidRDefault="003D6DF2" w:rsidP="003D6DF2">
      <w:pPr>
        <w:pStyle w:val="Footer"/>
        <w:numPr>
          <w:ilvl w:val="0"/>
          <w:numId w:val="5"/>
        </w:numPr>
        <w:tabs>
          <w:tab w:val="clear" w:pos="4513"/>
          <w:tab w:val="clear" w:pos="9026"/>
        </w:tabs>
        <w:ind w:left="426" w:hanging="426"/>
        <w:jc w:val="left"/>
        <w:rPr>
          <w:rFonts w:cs="Arial"/>
          <w:szCs w:val="20"/>
        </w:rPr>
      </w:pPr>
      <w:r w:rsidRPr="00423203">
        <w:rPr>
          <w:rFonts w:cs="Arial"/>
        </w:rPr>
        <w:t xml:space="preserve">Theory: </w:t>
      </w:r>
      <w:r w:rsidRPr="000F747B">
        <w:rPr>
          <w:rFonts w:cs="Arial"/>
          <w:szCs w:val="20"/>
        </w:rPr>
        <w:t xml:space="preserve">Level of critical engagement </w:t>
      </w:r>
      <w:r w:rsidRPr="00423203">
        <w:rPr>
          <w:rFonts w:cs="Arial"/>
        </w:rPr>
        <w:t>with selected or prescribed areas of architectural theory and knowledge and the consideration of its bearing upon</w:t>
      </w:r>
      <w:r w:rsidRPr="00423203">
        <w:rPr>
          <w:rFonts w:cs="Arial"/>
          <w:szCs w:val="20"/>
        </w:rPr>
        <w:t xml:space="preserve"> the design process.</w:t>
      </w:r>
    </w:p>
    <w:p w:rsidR="003D6DF2" w:rsidRPr="00BE2441" w:rsidRDefault="003D6DF2" w:rsidP="003D6DF2">
      <w:pPr>
        <w:numPr>
          <w:ilvl w:val="0"/>
          <w:numId w:val="4"/>
        </w:numPr>
        <w:spacing w:line="240" w:lineRule="auto"/>
        <w:ind w:left="426" w:hanging="426"/>
        <w:jc w:val="left"/>
        <w:rPr>
          <w:rFonts w:cs="Arial"/>
        </w:rPr>
      </w:pPr>
      <w:r w:rsidRPr="00BE2441">
        <w:rPr>
          <w:rFonts w:cs="Arial"/>
        </w:rPr>
        <w:t xml:space="preserve">Architectonics: Ambition of the design project and the </w:t>
      </w:r>
      <w:r w:rsidRPr="00BE2441">
        <w:rPr>
          <w:rFonts w:cs="Arial"/>
          <w:szCs w:val="20"/>
        </w:rPr>
        <w:t>quality of design development through the creative engagement with material, structural and constructional issues.</w:t>
      </w:r>
    </w:p>
    <w:p w:rsidR="003D6DF2" w:rsidRPr="00BE2441" w:rsidRDefault="003D6DF2" w:rsidP="003D6DF2">
      <w:pPr>
        <w:pStyle w:val="Indent1"/>
        <w:numPr>
          <w:ilvl w:val="0"/>
          <w:numId w:val="4"/>
        </w:numPr>
        <w:ind w:left="426" w:hanging="426"/>
        <w:rPr>
          <w:rFonts w:ascii="Arial" w:hAnsi="Arial" w:cs="Arial"/>
          <w:sz w:val="20"/>
          <w:u w:val="none"/>
        </w:rPr>
      </w:pPr>
      <w:r w:rsidRPr="00BE2441">
        <w:rPr>
          <w:rFonts w:ascii="Arial" w:hAnsi="Arial" w:cs="Arial"/>
          <w:sz w:val="20"/>
          <w:u w:val="none"/>
        </w:rPr>
        <w:t xml:space="preserve">Programme: Quality of engagement with relevant cultural, social and functional issues to inform the pursuit of cutting edge architectural propositions. </w:t>
      </w:r>
    </w:p>
    <w:p w:rsidR="003D6DF2" w:rsidRPr="00BE2441" w:rsidRDefault="003D6DF2" w:rsidP="003D6DF2">
      <w:pPr>
        <w:numPr>
          <w:ilvl w:val="0"/>
          <w:numId w:val="3"/>
        </w:numPr>
        <w:autoSpaceDE w:val="0"/>
        <w:autoSpaceDN w:val="0"/>
        <w:adjustRightInd w:val="0"/>
        <w:spacing w:line="240" w:lineRule="auto"/>
        <w:ind w:left="426" w:hanging="426"/>
        <w:contextualSpacing/>
        <w:jc w:val="left"/>
        <w:textAlignment w:val="baseline"/>
        <w:rPr>
          <w:rFonts w:cs="Arial"/>
        </w:rPr>
      </w:pPr>
      <w:r w:rsidRPr="00BE2441">
        <w:rPr>
          <w:rFonts w:cs="Arial"/>
        </w:rPr>
        <w:t xml:space="preserve">Performance: </w:t>
      </w:r>
      <w:r w:rsidRPr="00BE2441">
        <w:rPr>
          <w:rFonts w:cs="Arial"/>
          <w:szCs w:val="20"/>
        </w:rPr>
        <w:t xml:space="preserve">Extent of design development through the consideration </w:t>
      </w:r>
      <w:r w:rsidRPr="00BE2441">
        <w:rPr>
          <w:rFonts w:cs="Arial"/>
        </w:rPr>
        <w:t xml:space="preserve">of environmental and contextual conditions bearing upon the project. </w:t>
      </w:r>
    </w:p>
    <w:p w:rsidR="003D6DF2" w:rsidRPr="00BE2441" w:rsidRDefault="003D6DF2" w:rsidP="003D6DF2">
      <w:pPr>
        <w:numPr>
          <w:ilvl w:val="0"/>
          <w:numId w:val="4"/>
        </w:numPr>
        <w:spacing w:line="240" w:lineRule="auto"/>
        <w:ind w:left="426" w:hanging="426"/>
        <w:jc w:val="left"/>
        <w:rPr>
          <w:rFonts w:cs="Arial"/>
        </w:rPr>
      </w:pPr>
      <w:r w:rsidRPr="00BE2441">
        <w:rPr>
          <w:rFonts w:cs="Arial"/>
        </w:rPr>
        <w:t>Form and Space: Quality of engagement with and development of speculative three</w:t>
      </w:r>
      <w:r>
        <w:rPr>
          <w:rFonts w:cs="Arial"/>
        </w:rPr>
        <w:t xml:space="preserve"> </w:t>
      </w:r>
      <w:r w:rsidRPr="00BE2441">
        <w:rPr>
          <w:rFonts w:cs="Arial"/>
        </w:rPr>
        <w:t>dimensional architectural form and space.</w:t>
      </w:r>
    </w:p>
    <w:p w:rsidR="003D6DF2" w:rsidRPr="00BE2441" w:rsidRDefault="003D6DF2" w:rsidP="003D6DF2">
      <w:pPr>
        <w:numPr>
          <w:ilvl w:val="0"/>
          <w:numId w:val="4"/>
        </w:numPr>
        <w:spacing w:line="240" w:lineRule="auto"/>
        <w:ind w:left="426" w:hanging="426"/>
        <w:jc w:val="left"/>
        <w:rPr>
          <w:rFonts w:cs="Arial"/>
        </w:rPr>
      </w:pPr>
      <w:r w:rsidRPr="00BE2441">
        <w:rPr>
          <w:rFonts w:cs="Arial"/>
          <w:szCs w:val="20"/>
        </w:rPr>
        <w:t xml:space="preserve">Media: Quality and clarity of presentation, the extent of design development facilitated by, and the consideration given to the architectural media utilised. </w:t>
      </w:r>
    </w:p>
    <w:p w:rsidR="003D6DF2" w:rsidRPr="00BE2441" w:rsidRDefault="003D6DF2" w:rsidP="003D6DF2">
      <w:pPr>
        <w:numPr>
          <w:ilvl w:val="0"/>
          <w:numId w:val="4"/>
        </w:numPr>
        <w:spacing w:line="240" w:lineRule="auto"/>
        <w:ind w:left="426" w:hanging="426"/>
        <w:jc w:val="left"/>
        <w:rPr>
          <w:rFonts w:cs="Arial"/>
        </w:rPr>
      </w:pPr>
      <w:r w:rsidRPr="00BE2441">
        <w:rPr>
          <w:rFonts w:cs="Arial"/>
          <w:szCs w:val="20"/>
        </w:rPr>
        <w:t xml:space="preserve">Quality of engagement in studio – singularly, in group discussions and in formal crits. Attendance in studio and for the duration of crit days is mandatory – students are expected to support and learn from their colleagues. </w:t>
      </w:r>
    </w:p>
    <w:p w:rsidR="003D6DF2" w:rsidRDefault="003D6DF2" w:rsidP="003D6DF2">
      <w:pPr>
        <w:pStyle w:val="Heading3"/>
        <w:ind w:left="720"/>
        <w:rPr>
          <w:rStyle w:val="4aBodycopyGillRegular"/>
          <w:rFonts w:ascii="Arial" w:hAnsi="Arial" w:cs="Arial"/>
          <w:b w:val="0"/>
        </w:rPr>
      </w:pPr>
    </w:p>
    <w:p w:rsidR="003D6DF2" w:rsidRPr="00BE2441" w:rsidRDefault="003D6DF2" w:rsidP="003D6DF2">
      <w:pPr>
        <w:pStyle w:val="Heading3"/>
        <w:rPr>
          <w:rFonts w:cs="Arial"/>
          <w:b w:val="0"/>
          <w:szCs w:val="20"/>
        </w:rPr>
      </w:pPr>
      <w:r w:rsidRPr="00BE2441">
        <w:rPr>
          <w:rStyle w:val="4aBodycopyGillRegular"/>
          <w:rFonts w:ascii="Arial" w:hAnsi="Arial" w:cs="Arial"/>
          <w:b w:val="0"/>
        </w:rPr>
        <w:t xml:space="preserve">Specific topics will weight the factors presented above according their identified emphases. </w:t>
      </w:r>
    </w:p>
    <w:p w:rsidR="002E28E3" w:rsidRDefault="002E28E3" w:rsidP="002E28E3"/>
    <w:p w:rsidR="002E28E3" w:rsidRDefault="002E28E3" w:rsidP="000E27D1">
      <w:pPr>
        <w:pStyle w:val="Heading3"/>
      </w:pPr>
      <w:r>
        <w:t>10.3</w:t>
      </w:r>
      <w:r>
        <w:tab/>
        <w:t xml:space="preserve">Academic Integrity </w:t>
      </w:r>
    </w:p>
    <w:p w:rsidR="002E28E3" w:rsidRDefault="002E28E3" w:rsidP="002E28E3">
      <w: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their work for computerised review.</w:t>
      </w:r>
    </w:p>
    <w:p w:rsidR="00F00561" w:rsidRDefault="00F00561" w:rsidP="002E28E3"/>
    <w:p w:rsidR="002E28E3" w:rsidRDefault="002E28E3" w:rsidP="000E27D1">
      <w:pPr>
        <w:pStyle w:val="Heading3"/>
      </w:pPr>
      <w:r>
        <w:t>10.4</w:t>
      </w:r>
      <w:r>
        <w:tab/>
        <w:t>Attendance and Participation</w:t>
      </w:r>
    </w:p>
    <w:p w:rsidR="00F00561" w:rsidRDefault="002E28E3" w:rsidP="002E28E3">
      <w:r>
        <w:t>Attendance in class as well as engagement with course activities and readings supports academic success. Therefore it is strongly recommended that students make every effort to attend class and complete all the necessary in-class requirements.</w:t>
      </w:r>
    </w:p>
    <w:p w:rsidR="00F00561" w:rsidRPr="00EF2E17" w:rsidRDefault="00F00561" w:rsidP="00F00561">
      <w:pPr>
        <w:rPr>
          <w:rFonts w:cs="Arial"/>
          <w:b/>
          <w:szCs w:val="20"/>
        </w:rPr>
      </w:pPr>
      <w:r>
        <w:rPr>
          <w:rFonts w:cs="Arial"/>
          <w:b/>
          <w:szCs w:val="18"/>
        </w:rPr>
        <w:t>10.5</w:t>
      </w:r>
      <w:r w:rsidRPr="004824C6">
        <w:rPr>
          <w:rFonts w:cs="Arial"/>
          <w:b/>
          <w:szCs w:val="18"/>
        </w:rPr>
        <w:tab/>
      </w:r>
      <w:r w:rsidRPr="00EF2E17">
        <w:rPr>
          <w:rFonts w:cs="Arial"/>
          <w:b/>
          <w:szCs w:val="20"/>
        </w:rPr>
        <w:t>Output Requirements</w:t>
      </w:r>
    </w:p>
    <w:tbl>
      <w:tblPr>
        <w:tblStyle w:val="TableGrid"/>
        <w:tblW w:w="0" w:type="auto"/>
        <w:tblBorders>
          <w:left w:val="none" w:sz="0" w:space="0" w:color="auto"/>
          <w:right w:val="none" w:sz="0" w:space="0" w:color="auto"/>
          <w:insideV w:val="none" w:sz="0" w:space="0" w:color="auto"/>
        </w:tblBorders>
        <w:tblLayout w:type="fixed"/>
        <w:tblCellMar>
          <w:top w:w="28" w:type="dxa"/>
          <w:left w:w="85" w:type="dxa"/>
          <w:right w:w="85" w:type="dxa"/>
        </w:tblCellMar>
        <w:tblLook w:val="04A0" w:firstRow="1" w:lastRow="0" w:firstColumn="1" w:lastColumn="0" w:noHBand="0" w:noVBand="1"/>
      </w:tblPr>
      <w:tblGrid>
        <w:gridCol w:w="1212"/>
        <w:gridCol w:w="1162"/>
        <w:gridCol w:w="4192"/>
        <w:gridCol w:w="3629"/>
      </w:tblGrid>
      <w:tr w:rsidR="00A24963" w:rsidRPr="004C1863" w:rsidTr="00143662">
        <w:tc>
          <w:tcPr>
            <w:tcW w:w="1212" w:type="dxa"/>
            <w:tcBorders>
              <w:top w:val="single" w:sz="12" w:space="0" w:color="auto"/>
              <w:bottom w:val="single" w:sz="12" w:space="0" w:color="auto"/>
            </w:tcBorders>
          </w:tcPr>
          <w:p w:rsidR="00A24963" w:rsidRPr="009A4253" w:rsidRDefault="00A24963" w:rsidP="00143662">
            <w:pPr>
              <w:rPr>
                <w:b/>
              </w:rPr>
            </w:pPr>
            <w:r w:rsidRPr="009A4253">
              <w:rPr>
                <w:b/>
              </w:rPr>
              <w:t>Week</w:t>
            </w:r>
          </w:p>
        </w:tc>
        <w:tc>
          <w:tcPr>
            <w:tcW w:w="1162" w:type="dxa"/>
            <w:tcBorders>
              <w:top w:val="single" w:sz="12" w:space="0" w:color="auto"/>
              <w:bottom w:val="single" w:sz="12" w:space="0" w:color="auto"/>
            </w:tcBorders>
          </w:tcPr>
          <w:p w:rsidR="00A24963" w:rsidRPr="009A4253" w:rsidRDefault="00A24963" w:rsidP="00143662">
            <w:pPr>
              <w:rPr>
                <w:b/>
              </w:rPr>
            </w:pPr>
            <w:r w:rsidRPr="009A4253">
              <w:rPr>
                <w:b/>
              </w:rPr>
              <w:t>Date</w:t>
            </w:r>
          </w:p>
        </w:tc>
        <w:tc>
          <w:tcPr>
            <w:tcW w:w="4192" w:type="dxa"/>
            <w:tcBorders>
              <w:top w:val="single" w:sz="12" w:space="0" w:color="auto"/>
              <w:bottom w:val="single" w:sz="12" w:space="0" w:color="auto"/>
            </w:tcBorders>
          </w:tcPr>
          <w:p w:rsidR="00A24963" w:rsidRPr="009A4253" w:rsidRDefault="00A24963" w:rsidP="00143662">
            <w:pPr>
              <w:rPr>
                <w:b/>
              </w:rPr>
            </w:pPr>
            <w:r w:rsidRPr="009A4253">
              <w:rPr>
                <w:b/>
              </w:rPr>
              <w:t>Topic</w:t>
            </w:r>
          </w:p>
        </w:tc>
        <w:tc>
          <w:tcPr>
            <w:tcW w:w="3629" w:type="dxa"/>
            <w:tcBorders>
              <w:top w:val="single" w:sz="12" w:space="0" w:color="auto"/>
              <w:bottom w:val="single" w:sz="12" w:space="0" w:color="auto"/>
            </w:tcBorders>
          </w:tcPr>
          <w:p w:rsidR="00A24963" w:rsidRPr="009A4253" w:rsidRDefault="00A24963" w:rsidP="00143662">
            <w:pPr>
              <w:rPr>
                <w:b/>
              </w:rPr>
            </w:pPr>
          </w:p>
        </w:tc>
      </w:tr>
      <w:tr w:rsidR="001E223B" w:rsidRPr="0087788A" w:rsidTr="006A2ACF">
        <w:tc>
          <w:tcPr>
            <w:tcW w:w="1212" w:type="dxa"/>
            <w:tcBorders>
              <w:top w:val="single" w:sz="12" w:space="0" w:color="auto"/>
            </w:tcBorders>
          </w:tcPr>
          <w:p w:rsidR="001E223B" w:rsidRPr="009A4253" w:rsidRDefault="001E223B" w:rsidP="00143662">
            <w:r w:rsidRPr="009A4253">
              <w:t>Week 1</w:t>
            </w:r>
          </w:p>
        </w:tc>
        <w:tc>
          <w:tcPr>
            <w:tcW w:w="1162" w:type="dxa"/>
            <w:tcBorders>
              <w:top w:val="single" w:sz="12" w:space="0" w:color="auto"/>
            </w:tcBorders>
          </w:tcPr>
          <w:p w:rsidR="001E223B" w:rsidRPr="009A4253" w:rsidRDefault="007D7F2F" w:rsidP="007D7F2F">
            <w:r w:rsidRPr="009A4253">
              <w:t>10</w:t>
            </w:r>
            <w:r w:rsidR="001E223B" w:rsidRPr="009A4253">
              <w:t>/03</w:t>
            </w:r>
          </w:p>
        </w:tc>
        <w:tc>
          <w:tcPr>
            <w:tcW w:w="7821" w:type="dxa"/>
            <w:gridSpan w:val="2"/>
            <w:tcBorders>
              <w:top w:val="single" w:sz="12" w:space="0" w:color="auto"/>
            </w:tcBorders>
          </w:tcPr>
          <w:p w:rsidR="001E223B" w:rsidRPr="009A4253" w:rsidRDefault="001E223B" w:rsidP="002225F0">
            <w:pPr>
              <w:rPr>
                <w:rFonts w:cs="Arial"/>
                <w:lang w:val="en-GB"/>
              </w:rPr>
            </w:pPr>
            <w:r w:rsidRPr="009A4253">
              <w:rPr>
                <w:rFonts w:cs="Arial"/>
                <w:lang w:val="en-GB"/>
              </w:rPr>
              <w:t>Verbal presentation</w:t>
            </w:r>
            <w:r w:rsidR="002225F0" w:rsidRPr="009A4253">
              <w:rPr>
                <w:rFonts w:cs="Arial"/>
                <w:lang w:val="en-GB"/>
              </w:rPr>
              <w:t>:</w:t>
            </w:r>
            <w:r w:rsidRPr="009A4253">
              <w:rPr>
                <w:rFonts w:cs="Arial"/>
                <w:lang w:val="en-GB"/>
              </w:rPr>
              <w:t xml:space="preserve"> sub-topics</w:t>
            </w:r>
            <w:r w:rsidR="002225F0" w:rsidRPr="009A4253">
              <w:rPr>
                <w:rFonts w:cs="Arial"/>
                <w:lang w:val="en-GB"/>
              </w:rPr>
              <w:t>,</w:t>
            </w:r>
            <w:r w:rsidRPr="009A4253">
              <w:rPr>
                <w:rFonts w:cs="Arial"/>
                <w:lang w:val="en-GB"/>
              </w:rPr>
              <w:t xml:space="preserve"> with digital support (20 minutes per team)</w:t>
            </w:r>
            <w:r w:rsidR="007D7F2F" w:rsidRPr="009A4253">
              <w:rPr>
                <w:rFonts w:cs="Arial"/>
                <w:lang w:val="en-GB"/>
              </w:rPr>
              <w:t>.</w:t>
            </w:r>
            <w:r w:rsidRPr="009A4253">
              <w:rPr>
                <w:rFonts w:cs="Arial"/>
                <w:lang w:val="en-GB"/>
              </w:rPr>
              <w:t xml:space="preserve"> </w:t>
            </w:r>
          </w:p>
          <w:p w:rsidR="007D7F2F" w:rsidRPr="009A4253" w:rsidRDefault="007D7F2F" w:rsidP="002225F0">
            <w:r w:rsidRPr="009A4253">
              <w:rPr>
                <w:rFonts w:cs="Arial"/>
                <w:lang w:val="en-GB"/>
              </w:rPr>
              <w:t>Documentation: digital presentation</w:t>
            </w:r>
          </w:p>
        </w:tc>
      </w:tr>
      <w:tr w:rsidR="001E223B" w:rsidRPr="0087788A" w:rsidTr="00280E1D">
        <w:tc>
          <w:tcPr>
            <w:tcW w:w="1212" w:type="dxa"/>
          </w:tcPr>
          <w:p w:rsidR="001E223B" w:rsidRPr="009A4253" w:rsidRDefault="001E223B" w:rsidP="00143662">
            <w:r w:rsidRPr="009A4253">
              <w:t>Week 2</w:t>
            </w:r>
          </w:p>
        </w:tc>
        <w:tc>
          <w:tcPr>
            <w:tcW w:w="1162" w:type="dxa"/>
          </w:tcPr>
          <w:p w:rsidR="001E223B" w:rsidRPr="009A4253" w:rsidRDefault="001E223B" w:rsidP="007D7F2F">
            <w:r w:rsidRPr="009A4253">
              <w:t>1</w:t>
            </w:r>
            <w:r w:rsidR="007D7F2F" w:rsidRPr="009A4253">
              <w:t>7</w:t>
            </w:r>
            <w:r w:rsidRPr="009A4253">
              <w:t>/03</w:t>
            </w:r>
          </w:p>
        </w:tc>
        <w:tc>
          <w:tcPr>
            <w:tcW w:w="7821" w:type="dxa"/>
            <w:gridSpan w:val="2"/>
          </w:tcPr>
          <w:p w:rsidR="001E223B" w:rsidRPr="009A4253" w:rsidRDefault="002225F0" w:rsidP="001E223B">
            <w:pPr>
              <w:rPr>
                <w:rFonts w:cs="Arial"/>
                <w:lang w:val="en-GB"/>
              </w:rPr>
            </w:pPr>
            <w:r w:rsidRPr="009A4253">
              <w:rPr>
                <w:rFonts w:cs="Arial"/>
                <w:lang w:val="en-GB"/>
              </w:rPr>
              <w:t>Documentation: s</w:t>
            </w:r>
            <w:r w:rsidR="001E223B" w:rsidRPr="009A4253">
              <w:rPr>
                <w:rFonts w:cs="Arial"/>
                <w:lang w:val="en-GB"/>
              </w:rPr>
              <w:t>hort written manifesto (individual</w:t>
            </w:r>
            <w:r w:rsidR="001E223B" w:rsidRPr="009A4253">
              <w:rPr>
                <w:rFonts w:cs="Arial"/>
                <w:lang w:val="en-GB"/>
              </w:rPr>
              <w:t xml:space="preserve"> - </w:t>
            </w:r>
            <w:r w:rsidR="001E223B" w:rsidRPr="009A4253">
              <w:rPr>
                <w:rFonts w:cs="Arial"/>
                <w:lang w:val="en-GB"/>
              </w:rPr>
              <w:t>500 words)</w:t>
            </w:r>
            <w:r w:rsidR="007D7F2F" w:rsidRPr="009A4253">
              <w:rPr>
                <w:rFonts w:cs="Arial"/>
                <w:lang w:val="en-GB"/>
              </w:rPr>
              <w:t>, digital presentation</w:t>
            </w:r>
            <w:r w:rsidR="001E223B" w:rsidRPr="009A4253">
              <w:rPr>
                <w:rFonts w:cs="Arial"/>
                <w:lang w:val="en-GB"/>
              </w:rPr>
              <w:t xml:space="preserve"> </w:t>
            </w:r>
          </w:p>
          <w:p w:rsidR="007D7F2F" w:rsidRPr="009A4253" w:rsidRDefault="001E223B" w:rsidP="002225F0">
            <w:pPr>
              <w:rPr>
                <w:rFonts w:cs="Arial"/>
                <w:lang w:val="en-GB"/>
              </w:rPr>
            </w:pPr>
            <w:r w:rsidRPr="009A4253">
              <w:rPr>
                <w:rFonts w:cs="Arial"/>
                <w:lang w:val="en-GB"/>
              </w:rPr>
              <w:t>Verbal presentation</w:t>
            </w:r>
            <w:r w:rsidR="002225F0" w:rsidRPr="009A4253">
              <w:rPr>
                <w:rFonts w:cs="Arial"/>
                <w:lang w:val="en-GB"/>
              </w:rPr>
              <w:t xml:space="preserve">: </w:t>
            </w:r>
            <w:r w:rsidRPr="009A4253">
              <w:rPr>
                <w:rFonts w:cs="Arial"/>
                <w:lang w:val="en-GB"/>
              </w:rPr>
              <w:t xml:space="preserve">manifesto and </w:t>
            </w:r>
            <w:r w:rsidRPr="009A4253">
              <w:rPr>
                <w:rFonts w:cs="Arial"/>
                <w:lang w:val="en-GB"/>
              </w:rPr>
              <w:t>meta-project</w:t>
            </w:r>
            <w:r w:rsidR="002225F0" w:rsidRPr="009A4253">
              <w:rPr>
                <w:rFonts w:cs="Arial"/>
                <w:lang w:val="en-GB"/>
              </w:rPr>
              <w:t>,</w:t>
            </w:r>
            <w:r w:rsidRPr="009A4253">
              <w:rPr>
                <w:rFonts w:cs="Arial"/>
                <w:lang w:val="en-GB"/>
              </w:rPr>
              <w:t xml:space="preserve"> </w:t>
            </w:r>
            <w:r w:rsidRPr="009A4253">
              <w:rPr>
                <w:rFonts w:cs="Arial"/>
                <w:lang w:val="en-GB"/>
              </w:rPr>
              <w:t xml:space="preserve">with </w:t>
            </w:r>
            <w:r w:rsidRPr="009A4253">
              <w:rPr>
                <w:rFonts w:cs="Arial"/>
                <w:lang w:val="en-GB"/>
              </w:rPr>
              <w:t>digital support</w:t>
            </w:r>
            <w:r w:rsidRPr="009A4253">
              <w:rPr>
                <w:rFonts w:cs="Arial"/>
                <w:lang w:val="en-GB"/>
              </w:rPr>
              <w:t xml:space="preserve"> </w:t>
            </w:r>
            <w:r w:rsidRPr="009A4253">
              <w:rPr>
                <w:rFonts w:cs="Arial"/>
                <w:lang w:val="en-GB"/>
              </w:rPr>
              <w:t>(5 min</w:t>
            </w:r>
            <w:r w:rsidRPr="009A4253">
              <w:rPr>
                <w:rFonts w:cs="Arial"/>
                <w:lang w:val="en-GB"/>
              </w:rPr>
              <w:t>/</w:t>
            </w:r>
            <w:r w:rsidRPr="009A4253">
              <w:rPr>
                <w:rFonts w:cs="Arial"/>
                <w:lang w:val="en-GB"/>
              </w:rPr>
              <w:t>student)</w:t>
            </w:r>
          </w:p>
        </w:tc>
      </w:tr>
      <w:tr w:rsidR="001E223B" w:rsidRPr="0087788A" w:rsidTr="00187D51">
        <w:tc>
          <w:tcPr>
            <w:tcW w:w="1212" w:type="dxa"/>
          </w:tcPr>
          <w:p w:rsidR="001E223B" w:rsidRPr="009A4253" w:rsidRDefault="001E223B" w:rsidP="00143662">
            <w:r w:rsidRPr="009A4253">
              <w:t>Week 3</w:t>
            </w:r>
          </w:p>
        </w:tc>
        <w:tc>
          <w:tcPr>
            <w:tcW w:w="1162" w:type="dxa"/>
          </w:tcPr>
          <w:p w:rsidR="001E223B" w:rsidRPr="009A4253" w:rsidRDefault="001E223B" w:rsidP="007D7F2F">
            <w:r w:rsidRPr="009A4253">
              <w:t>2</w:t>
            </w:r>
            <w:r w:rsidR="007D7F2F" w:rsidRPr="009A4253">
              <w:t>4</w:t>
            </w:r>
            <w:r w:rsidRPr="009A4253">
              <w:t>/03</w:t>
            </w:r>
          </w:p>
        </w:tc>
        <w:tc>
          <w:tcPr>
            <w:tcW w:w="7821" w:type="dxa"/>
            <w:gridSpan w:val="2"/>
          </w:tcPr>
          <w:p w:rsidR="001E223B" w:rsidRPr="009A4253" w:rsidRDefault="001E223B" w:rsidP="002225F0">
            <w:pPr>
              <w:rPr>
                <w:rFonts w:cs="Arial"/>
                <w:lang w:val="en-GB"/>
              </w:rPr>
            </w:pPr>
            <w:r w:rsidRPr="009A4253">
              <w:rPr>
                <w:rFonts w:cs="Arial"/>
                <w:lang w:val="en-GB"/>
              </w:rPr>
              <w:t>Verbal presentation</w:t>
            </w:r>
            <w:r w:rsidR="002225F0" w:rsidRPr="009A4253">
              <w:rPr>
                <w:rFonts w:cs="Arial"/>
                <w:lang w:val="en-GB"/>
              </w:rPr>
              <w:t xml:space="preserve">: </w:t>
            </w:r>
            <w:r w:rsidRPr="009A4253">
              <w:rPr>
                <w:rFonts w:cs="Arial"/>
                <w:lang w:val="en-GB"/>
              </w:rPr>
              <w:t>precedents</w:t>
            </w:r>
            <w:r w:rsidR="002225F0" w:rsidRPr="009A4253">
              <w:rPr>
                <w:rFonts w:cs="Arial"/>
                <w:lang w:val="en-GB"/>
              </w:rPr>
              <w:t>,</w:t>
            </w:r>
            <w:r w:rsidRPr="009A4253">
              <w:rPr>
                <w:rFonts w:cs="Arial"/>
                <w:lang w:val="en-GB"/>
              </w:rPr>
              <w:t xml:space="preserve"> </w:t>
            </w:r>
            <w:r w:rsidRPr="009A4253">
              <w:rPr>
                <w:rFonts w:cs="Arial"/>
                <w:lang w:val="en-GB"/>
              </w:rPr>
              <w:t>with digital support (</w:t>
            </w:r>
            <w:r w:rsidRPr="009A4253">
              <w:rPr>
                <w:rFonts w:cs="Arial"/>
                <w:lang w:val="en-GB"/>
              </w:rPr>
              <w:t>5</w:t>
            </w:r>
            <w:r w:rsidRPr="009A4253">
              <w:rPr>
                <w:rFonts w:cs="Arial"/>
                <w:lang w:val="en-GB"/>
              </w:rPr>
              <w:t xml:space="preserve"> minutes per </w:t>
            </w:r>
            <w:r w:rsidRPr="009A4253">
              <w:rPr>
                <w:rFonts w:cs="Arial"/>
                <w:lang w:val="en-GB"/>
              </w:rPr>
              <w:t>student)</w:t>
            </w:r>
          </w:p>
          <w:p w:rsidR="00CD0515" w:rsidRPr="009A4253" w:rsidRDefault="00CD0515" w:rsidP="002225F0">
            <w:r w:rsidRPr="009A4253">
              <w:rPr>
                <w:rFonts w:cs="Arial"/>
                <w:lang w:val="en-GB"/>
              </w:rPr>
              <w:t>Documentation: digital presentation</w:t>
            </w:r>
          </w:p>
        </w:tc>
      </w:tr>
      <w:tr w:rsidR="002225F0" w:rsidRPr="0087788A" w:rsidTr="00187D51">
        <w:tc>
          <w:tcPr>
            <w:tcW w:w="1212" w:type="dxa"/>
          </w:tcPr>
          <w:p w:rsidR="002225F0" w:rsidRPr="009A4253" w:rsidRDefault="002225F0" w:rsidP="002225F0">
            <w:r w:rsidRPr="009A4253">
              <w:t>Week 5</w:t>
            </w:r>
          </w:p>
        </w:tc>
        <w:tc>
          <w:tcPr>
            <w:tcW w:w="1162" w:type="dxa"/>
          </w:tcPr>
          <w:p w:rsidR="002225F0" w:rsidRPr="009A4253" w:rsidRDefault="00CD0515" w:rsidP="00CD0515">
            <w:r w:rsidRPr="009A4253">
              <w:t>7</w:t>
            </w:r>
            <w:r w:rsidR="002225F0" w:rsidRPr="009A4253">
              <w:t>/04</w:t>
            </w:r>
          </w:p>
        </w:tc>
        <w:tc>
          <w:tcPr>
            <w:tcW w:w="7821" w:type="dxa"/>
            <w:gridSpan w:val="2"/>
          </w:tcPr>
          <w:p w:rsidR="00CD0515" w:rsidRPr="009A4253" w:rsidRDefault="002225F0" w:rsidP="002225F0">
            <w:pPr>
              <w:rPr>
                <w:rFonts w:cs="Arial"/>
                <w:lang w:val="en-GB"/>
              </w:rPr>
            </w:pPr>
            <w:r w:rsidRPr="009A4253">
              <w:rPr>
                <w:rFonts w:cs="Arial"/>
                <w:lang w:val="en-GB"/>
              </w:rPr>
              <w:t>Verbal presentation:</w:t>
            </w:r>
            <w:r w:rsidRPr="009A4253">
              <w:rPr>
                <w:rFonts w:cs="Arial"/>
                <w:lang w:val="en-GB"/>
              </w:rPr>
              <w:t xml:space="preserve"> c</w:t>
            </w:r>
            <w:r w:rsidRPr="009A4253">
              <w:rPr>
                <w:rFonts w:cs="Arial"/>
                <w:lang w:val="en-GB"/>
              </w:rPr>
              <w:t>onceptual proposal</w:t>
            </w:r>
            <w:r w:rsidRPr="009A4253">
              <w:rPr>
                <w:rFonts w:cs="Arial"/>
                <w:lang w:val="en-GB"/>
              </w:rPr>
              <w:t xml:space="preserve">, with </w:t>
            </w:r>
            <w:r w:rsidRPr="009A4253">
              <w:rPr>
                <w:rFonts w:cs="Arial"/>
                <w:lang w:val="en-GB"/>
              </w:rPr>
              <w:t>digital</w:t>
            </w:r>
            <w:r w:rsidRPr="009A4253">
              <w:rPr>
                <w:rFonts w:cs="Arial"/>
                <w:lang w:val="en-GB"/>
              </w:rPr>
              <w:t>/analogue</w:t>
            </w:r>
            <w:r w:rsidRPr="009A4253">
              <w:rPr>
                <w:rFonts w:cs="Arial"/>
                <w:lang w:val="en-GB"/>
              </w:rPr>
              <w:t xml:space="preserve"> support (5 min</w:t>
            </w:r>
            <w:r w:rsidRPr="009A4253">
              <w:rPr>
                <w:rFonts w:cs="Arial"/>
                <w:lang w:val="en-GB"/>
              </w:rPr>
              <w:t>/</w:t>
            </w:r>
            <w:r w:rsidRPr="009A4253">
              <w:rPr>
                <w:rFonts w:cs="Arial"/>
                <w:lang w:val="en-GB"/>
              </w:rPr>
              <w:t>student)</w:t>
            </w:r>
          </w:p>
        </w:tc>
      </w:tr>
      <w:tr w:rsidR="001E223B" w:rsidRPr="00F56951" w:rsidTr="004D2BA5">
        <w:tc>
          <w:tcPr>
            <w:tcW w:w="1212" w:type="dxa"/>
            <w:tcBorders>
              <w:bottom w:val="single" w:sz="12" w:space="0" w:color="auto"/>
            </w:tcBorders>
          </w:tcPr>
          <w:p w:rsidR="001E223B" w:rsidRPr="009A4253" w:rsidRDefault="001E223B" w:rsidP="00143662">
            <w:r w:rsidRPr="009A4253">
              <w:t>Week 6</w:t>
            </w:r>
          </w:p>
        </w:tc>
        <w:tc>
          <w:tcPr>
            <w:tcW w:w="1162" w:type="dxa"/>
            <w:tcBorders>
              <w:bottom w:val="single" w:sz="12" w:space="0" w:color="auto"/>
            </w:tcBorders>
          </w:tcPr>
          <w:p w:rsidR="001E223B" w:rsidRPr="009A4253" w:rsidRDefault="001E223B" w:rsidP="00143662">
            <w:r w:rsidRPr="009A4253">
              <w:t>10-16/04</w:t>
            </w:r>
          </w:p>
        </w:tc>
        <w:tc>
          <w:tcPr>
            <w:tcW w:w="7821" w:type="dxa"/>
            <w:gridSpan w:val="2"/>
            <w:tcBorders>
              <w:bottom w:val="single" w:sz="12" w:space="0" w:color="auto"/>
            </w:tcBorders>
          </w:tcPr>
          <w:p w:rsidR="001E223B" w:rsidRPr="009A4253" w:rsidRDefault="001E223B" w:rsidP="00143662">
            <w:pPr>
              <w:rPr>
                <w:rFonts w:cs="Arial"/>
                <w:lang w:val="en-GB"/>
              </w:rPr>
            </w:pPr>
            <w:r w:rsidRPr="009A4253">
              <w:rPr>
                <w:b/>
              </w:rPr>
              <w:t>Mid-semester crits</w:t>
            </w:r>
            <w:r w:rsidRPr="009A4253">
              <w:rPr>
                <w:rFonts w:cs="Arial"/>
                <w:lang w:val="en-GB"/>
              </w:rPr>
              <w:t xml:space="preserve"> </w:t>
            </w:r>
          </w:p>
          <w:p w:rsidR="001E223B" w:rsidRPr="009A4253" w:rsidRDefault="001E223B" w:rsidP="00CD0515">
            <w:r w:rsidRPr="009A4253">
              <w:rPr>
                <w:rFonts w:cs="Arial"/>
                <w:lang w:val="en-GB"/>
              </w:rPr>
              <w:t xml:space="preserve">Verbal presentation of the </w:t>
            </w:r>
            <w:r w:rsidR="00CD0515" w:rsidRPr="009A4253">
              <w:rPr>
                <w:rFonts w:cs="Arial"/>
                <w:lang w:val="en-GB"/>
              </w:rPr>
              <w:t xml:space="preserve">concept and preliminary </w:t>
            </w:r>
            <w:r w:rsidRPr="009A4253">
              <w:rPr>
                <w:rFonts w:cs="Arial"/>
                <w:lang w:val="en-GB"/>
              </w:rPr>
              <w:t>masterplan with digital/analogue support (1</w:t>
            </w:r>
            <w:r w:rsidR="007D7F2F" w:rsidRPr="009A4253">
              <w:rPr>
                <w:rFonts w:cs="Arial"/>
                <w:lang w:val="en-GB"/>
              </w:rPr>
              <w:t>0</w:t>
            </w:r>
            <w:r w:rsidRPr="009A4253">
              <w:rPr>
                <w:rFonts w:cs="Arial"/>
                <w:lang w:val="en-GB"/>
              </w:rPr>
              <w:t xml:space="preserve"> min</w:t>
            </w:r>
            <w:r w:rsidRPr="009A4253">
              <w:rPr>
                <w:rFonts w:cs="Arial"/>
                <w:lang w:val="en-GB"/>
              </w:rPr>
              <w:t>/</w:t>
            </w:r>
            <w:r w:rsidRPr="009A4253">
              <w:rPr>
                <w:rFonts w:cs="Arial"/>
                <w:lang w:val="en-GB"/>
              </w:rPr>
              <w:t>student).</w:t>
            </w:r>
          </w:p>
        </w:tc>
      </w:tr>
      <w:tr w:rsidR="00A24963" w:rsidRPr="00F56951" w:rsidTr="00143662">
        <w:tc>
          <w:tcPr>
            <w:tcW w:w="1212" w:type="dxa"/>
            <w:tcBorders>
              <w:top w:val="single" w:sz="12" w:space="0" w:color="auto"/>
              <w:bottom w:val="single" w:sz="12" w:space="0" w:color="auto"/>
            </w:tcBorders>
          </w:tcPr>
          <w:p w:rsidR="00A24963" w:rsidRPr="009A4253" w:rsidRDefault="00A24963" w:rsidP="00143662"/>
        </w:tc>
        <w:tc>
          <w:tcPr>
            <w:tcW w:w="1162" w:type="dxa"/>
            <w:tcBorders>
              <w:top w:val="single" w:sz="12" w:space="0" w:color="auto"/>
              <w:bottom w:val="single" w:sz="12" w:space="0" w:color="auto"/>
            </w:tcBorders>
          </w:tcPr>
          <w:p w:rsidR="00A24963" w:rsidRPr="009A4253" w:rsidRDefault="00A24963" w:rsidP="00143662"/>
        </w:tc>
        <w:tc>
          <w:tcPr>
            <w:tcW w:w="4192" w:type="dxa"/>
            <w:tcBorders>
              <w:top w:val="single" w:sz="12" w:space="0" w:color="auto"/>
              <w:bottom w:val="single" w:sz="12" w:space="0" w:color="auto"/>
            </w:tcBorders>
          </w:tcPr>
          <w:p w:rsidR="00A24963" w:rsidRPr="009A4253" w:rsidRDefault="00A24963" w:rsidP="00143662">
            <w:r w:rsidRPr="009A4253">
              <w:t>MID-SEMESTER BREAK</w:t>
            </w:r>
          </w:p>
        </w:tc>
        <w:tc>
          <w:tcPr>
            <w:tcW w:w="3629" w:type="dxa"/>
            <w:tcBorders>
              <w:top w:val="single" w:sz="12" w:space="0" w:color="auto"/>
              <w:bottom w:val="single" w:sz="12" w:space="0" w:color="auto"/>
            </w:tcBorders>
          </w:tcPr>
          <w:p w:rsidR="00A24963" w:rsidRPr="009A4253" w:rsidRDefault="00A24963" w:rsidP="00143662"/>
        </w:tc>
      </w:tr>
      <w:tr w:rsidR="00CD0515" w:rsidRPr="0087788A" w:rsidTr="00D73E0C">
        <w:tc>
          <w:tcPr>
            <w:tcW w:w="1212" w:type="dxa"/>
          </w:tcPr>
          <w:p w:rsidR="00CD0515" w:rsidRPr="009A4253" w:rsidRDefault="00CD0515" w:rsidP="00143662">
            <w:r w:rsidRPr="009A4253">
              <w:t>Week 9</w:t>
            </w:r>
          </w:p>
        </w:tc>
        <w:tc>
          <w:tcPr>
            <w:tcW w:w="1162" w:type="dxa"/>
          </w:tcPr>
          <w:p w:rsidR="00CD0515" w:rsidRPr="009A4253" w:rsidRDefault="00CD0515" w:rsidP="00CD0515">
            <w:r w:rsidRPr="009A4253">
              <w:t>1</w:t>
            </w:r>
            <w:r w:rsidRPr="009A4253">
              <w:t>9</w:t>
            </w:r>
            <w:r w:rsidRPr="009A4253">
              <w:t>/05</w:t>
            </w:r>
          </w:p>
        </w:tc>
        <w:tc>
          <w:tcPr>
            <w:tcW w:w="7821" w:type="dxa"/>
            <w:gridSpan w:val="2"/>
          </w:tcPr>
          <w:p w:rsidR="00CD0515" w:rsidRPr="009A4253" w:rsidRDefault="00CD0515" w:rsidP="00CD0515">
            <w:r w:rsidRPr="009A4253">
              <w:rPr>
                <w:rFonts w:cs="Arial"/>
                <w:lang w:val="en-GB"/>
              </w:rPr>
              <w:t xml:space="preserve">Verbal </w:t>
            </w:r>
            <w:r w:rsidRPr="009A4253">
              <w:rPr>
                <w:rFonts w:eastAsia="Times New Roman" w:cs="Arial"/>
                <w:szCs w:val="20"/>
                <w:lang w:val="en-GB"/>
              </w:rPr>
              <w:t>presentation</w:t>
            </w:r>
            <w:r w:rsidRPr="009A4253">
              <w:rPr>
                <w:rFonts w:cs="Arial"/>
                <w:lang w:val="en-GB"/>
              </w:rPr>
              <w:t xml:space="preserve">: </w:t>
            </w:r>
            <w:r w:rsidRPr="009A4253">
              <w:rPr>
                <w:rFonts w:cs="Arial"/>
                <w:lang w:val="en-GB"/>
              </w:rPr>
              <w:t>d</w:t>
            </w:r>
            <w:r w:rsidRPr="009A4253">
              <w:rPr>
                <w:rFonts w:cs="Arial"/>
                <w:lang w:val="en-GB"/>
              </w:rPr>
              <w:t>esign development,</w:t>
            </w:r>
            <w:r w:rsidRPr="009A4253">
              <w:rPr>
                <w:rFonts w:cs="Arial"/>
                <w:szCs w:val="20"/>
                <w:lang w:val="en-GB"/>
              </w:rPr>
              <w:t xml:space="preserve"> with </w:t>
            </w:r>
            <w:r w:rsidRPr="009A4253">
              <w:rPr>
                <w:rFonts w:eastAsia="Times New Roman" w:cs="Arial"/>
                <w:szCs w:val="20"/>
                <w:lang w:val="en-GB"/>
              </w:rPr>
              <w:t>digital</w:t>
            </w:r>
            <w:r w:rsidRPr="009A4253">
              <w:rPr>
                <w:rFonts w:cs="Arial"/>
                <w:lang w:val="en-GB"/>
              </w:rPr>
              <w:t>/analogue</w:t>
            </w:r>
            <w:r w:rsidRPr="009A4253">
              <w:rPr>
                <w:rFonts w:eastAsia="Times New Roman" w:cs="Arial"/>
                <w:szCs w:val="20"/>
                <w:lang w:val="en-GB"/>
              </w:rPr>
              <w:t xml:space="preserve"> support (</w:t>
            </w:r>
            <w:r w:rsidRPr="009A4253">
              <w:rPr>
                <w:rFonts w:cs="Arial"/>
                <w:lang w:val="en-GB"/>
              </w:rPr>
              <w:t>5</w:t>
            </w:r>
            <w:r w:rsidRPr="009A4253">
              <w:rPr>
                <w:rFonts w:eastAsia="Times New Roman" w:cs="Arial"/>
                <w:szCs w:val="20"/>
                <w:lang w:val="en-GB"/>
              </w:rPr>
              <w:t xml:space="preserve"> min</w:t>
            </w:r>
            <w:r w:rsidRPr="009A4253">
              <w:rPr>
                <w:rFonts w:cs="Arial"/>
                <w:lang w:val="en-GB"/>
              </w:rPr>
              <w:t>/student).</w:t>
            </w:r>
          </w:p>
        </w:tc>
      </w:tr>
      <w:tr w:rsidR="001E223B" w:rsidRPr="0087788A" w:rsidTr="00726CBB">
        <w:tc>
          <w:tcPr>
            <w:tcW w:w="1212" w:type="dxa"/>
          </w:tcPr>
          <w:p w:rsidR="001E223B" w:rsidRPr="009A4253" w:rsidRDefault="001E223B" w:rsidP="00143662">
            <w:r w:rsidRPr="009A4253">
              <w:t>Week 10</w:t>
            </w:r>
          </w:p>
        </w:tc>
        <w:tc>
          <w:tcPr>
            <w:tcW w:w="1162" w:type="dxa"/>
          </w:tcPr>
          <w:p w:rsidR="001E223B" w:rsidRPr="009A4253" w:rsidRDefault="001E223B" w:rsidP="00CD0515">
            <w:r w:rsidRPr="009A4253">
              <w:t>2</w:t>
            </w:r>
            <w:r w:rsidR="00CD0515" w:rsidRPr="009A4253">
              <w:t>6</w:t>
            </w:r>
            <w:r w:rsidRPr="009A4253">
              <w:t>/05</w:t>
            </w:r>
          </w:p>
        </w:tc>
        <w:tc>
          <w:tcPr>
            <w:tcW w:w="7821" w:type="dxa"/>
            <w:gridSpan w:val="2"/>
          </w:tcPr>
          <w:p w:rsidR="001E223B" w:rsidRPr="009A4253" w:rsidRDefault="00CD0515" w:rsidP="00CD0515">
            <w:pPr>
              <w:rPr>
                <w:rFonts w:cs="Arial"/>
                <w:lang w:val="en-GB"/>
              </w:rPr>
            </w:pPr>
            <w:r w:rsidRPr="009A4253">
              <w:rPr>
                <w:rFonts w:cs="Arial"/>
                <w:lang w:val="en-GB"/>
              </w:rPr>
              <w:t xml:space="preserve">Final presentation: planning and layout </w:t>
            </w:r>
          </w:p>
          <w:p w:rsidR="00CD0515" w:rsidRPr="009A4253" w:rsidRDefault="00CD0515" w:rsidP="00CD0515">
            <w:r w:rsidRPr="009A4253">
              <w:rPr>
                <w:rFonts w:cs="Arial"/>
                <w:lang w:val="en-GB"/>
              </w:rPr>
              <w:t xml:space="preserve">Documentation: critical reflection on the project </w:t>
            </w:r>
            <w:r w:rsidRPr="009A4253">
              <w:rPr>
                <w:rFonts w:cs="Arial"/>
                <w:lang w:val="en-GB"/>
              </w:rPr>
              <w:t>(</w:t>
            </w:r>
            <w:r w:rsidRPr="009A4253">
              <w:rPr>
                <w:rFonts w:cs="Arial"/>
                <w:lang w:val="en-GB"/>
              </w:rPr>
              <w:t>1.0</w:t>
            </w:r>
            <w:r w:rsidRPr="009A4253">
              <w:rPr>
                <w:rFonts w:cs="Arial"/>
                <w:lang w:val="en-GB"/>
              </w:rPr>
              <w:t>00 words)</w:t>
            </w:r>
          </w:p>
        </w:tc>
      </w:tr>
      <w:tr w:rsidR="00CD0515" w:rsidRPr="0087788A" w:rsidTr="00F33E3C">
        <w:tc>
          <w:tcPr>
            <w:tcW w:w="1212" w:type="dxa"/>
            <w:tcBorders>
              <w:bottom w:val="single" w:sz="12" w:space="0" w:color="auto"/>
            </w:tcBorders>
          </w:tcPr>
          <w:p w:rsidR="00CD0515" w:rsidRPr="009A4253" w:rsidRDefault="00CD0515" w:rsidP="00143662">
            <w:r w:rsidRPr="009A4253">
              <w:t>Week 12</w:t>
            </w:r>
          </w:p>
        </w:tc>
        <w:tc>
          <w:tcPr>
            <w:tcW w:w="1162" w:type="dxa"/>
            <w:tcBorders>
              <w:bottom w:val="single" w:sz="12" w:space="0" w:color="auto"/>
            </w:tcBorders>
          </w:tcPr>
          <w:p w:rsidR="00CD0515" w:rsidRPr="009A4253" w:rsidRDefault="00CD0515" w:rsidP="00143662">
            <w:r w:rsidRPr="009A4253">
              <w:t>5-11/06</w:t>
            </w:r>
          </w:p>
        </w:tc>
        <w:tc>
          <w:tcPr>
            <w:tcW w:w="7821" w:type="dxa"/>
            <w:gridSpan w:val="2"/>
            <w:tcBorders>
              <w:bottom w:val="single" w:sz="12" w:space="0" w:color="auto"/>
            </w:tcBorders>
          </w:tcPr>
          <w:p w:rsidR="00CD0515" w:rsidRPr="009A4253" w:rsidRDefault="00CD0515" w:rsidP="00143662">
            <w:pPr>
              <w:rPr>
                <w:b/>
              </w:rPr>
            </w:pPr>
            <w:r w:rsidRPr="009A4253">
              <w:rPr>
                <w:b/>
              </w:rPr>
              <w:t>Final Presentation</w:t>
            </w:r>
          </w:p>
          <w:p w:rsidR="00CD0515" w:rsidRPr="009A4253" w:rsidRDefault="00CD0515" w:rsidP="00CD0515">
            <w:pPr>
              <w:rPr>
                <w:rFonts w:cs="Arial"/>
                <w:lang w:val="en-GB"/>
              </w:rPr>
            </w:pPr>
            <w:r w:rsidRPr="009A4253">
              <w:rPr>
                <w:rFonts w:cs="Arial"/>
                <w:lang w:val="en-GB"/>
              </w:rPr>
              <w:t>Verbal presentation of the masterplan with digital/analogue support (1</w:t>
            </w:r>
            <w:r w:rsidRPr="009A4253">
              <w:rPr>
                <w:rFonts w:cs="Arial"/>
                <w:lang w:val="en-GB"/>
              </w:rPr>
              <w:t>5</w:t>
            </w:r>
            <w:r w:rsidRPr="009A4253">
              <w:rPr>
                <w:rFonts w:cs="Arial"/>
                <w:lang w:val="en-GB"/>
              </w:rPr>
              <w:t xml:space="preserve"> min/student).</w:t>
            </w:r>
          </w:p>
          <w:p w:rsidR="00CD0515" w:rsidRPr="009A4253" w:rsidRDefault="00CD0515" w:rsidP="00CD0515">
            <w:r w:rsidRPr="009A4253">
              <w:rPr>
                <w:rFonts w:cs="Arial"/>
                <w:lang w:val="en-GB"/>
              </w:rPr>
              <w:t>Documentation: digital and analogue materials</w:t>
            </w:r>
          </w:p>
        </w:tc>
      </w:tr>
    </w:tbl>
    <w:p w:rsidR="002E28E3" w:rsidRDefault="002E28E3" w:rsidP="000E27D1">
      <w:pPr>
        <w:pStyle w:val="Heading2"/>
      </w:pPr>
      <w:r>
        <w:t>11.0</w:t>
      </w:r>
      <w:r>
        <w:tab/>
        <w:t>STUDENT FEEDBACK</w:t>
      </w:r>
    </w:p>
    <w:p w:rsidR="00F00561" w:rsidRPr="00F00561" w:rsidRDefault="00F00561" w:rsidP="00F00561">
      <w:pPr>
        <w:pStyle w:val="ListParagraph"/>
        <w:ind w:left="0"/>
        <w:contextualSpacing/>
        <w:rPr>
          <w:rFonts w:ascii="Arial" w:hAnsi="Arial" w:cs="Arial"/>
          <w:sz w:val="20"/>
          <w:szCs w:val="20"/>
        </w:rPr>
      </w:pPr>
      <w:r>
        <w:rPr>
          <w:rFonts w:ascii="Arial" w:hAnsi="Arial" w:cs="Arial"/>
          <w:sz w:val="20"/>
          <w:szCs w:val="20"/>
        </w:rPr>
        <w:t>S</w:t>
      </w:r>
      <w:r w:rsidRPr="00DD27C8">
        <w:rPr>
          <w:rFonts w:ascii="Arial" w:hAnsi="Arial" w:cs="Arial"/>
          <w:sz w:val="20"/>
          <w:szCs w:val="20"/>
        </w:rPr>
        <w:t xml:space="preserve">tudents will be asked to complete </w:t>
      </w:r>
      <w:r>
        <w:rPr>
          <w:rFonts w:ascii="Arial" w:hAnsi="Arial" w:cs="Arial"/>
          <w:sz w:val="20"/>
          <w:szCs w:val="20"/>
        </w:rPr>
        <w:t xml:space="preserve">an evaluation of the </w:t>
      </w:r>
      <w:r w:rsidRPr="00DD27C8">
        <w:rPr>
          <w:rFonts w:ascii="Arial" w:hAnsi="Arial" w:cs="Arial"/>
          <w:sz w:val="20"/>
          <w:szCs w:val="20"/>
        </w:rPr>
        <w:t>course</w:t>
      </w:r>
      <w:r>
        <w:rPr>
          <w:rFonts w:ascii="Arial" w:hAnsi="Arial" w:cs="Arial"/>
          <w:sz w:val="20"/>
          <w:szCs w:val="20"/>
        </w:rPr>
        <w:t xml:space="preserve"> </w:t>
      </w:r>
      <w:r w:rsidRPr="00DD27C8">
        <w:rPr>
          <w:rFonts w:ascii="Arial" w:hAnsi="Arial" w:cs="Arial"/>
          <w:sz w:val="20"/>
          <w:szCs w:val="20"/>
        </w:rPr>
        <w:t xml:space="preserve">at the end of the </w:t>
      </w:r>
      <w:r>
        <w:rPr>
          <w:rFonts w:ascii="Arial" w:hAnsi="Arial" w:cs="Arial"/>
          <w:sz w:val="20"/>
          <w:szCs w:val="20"/>
        </w:rPr>
        <w:t>semester</w:t>
      </w:r>
      <w:r w:rsidRPr="00DD27C8">
        <w:rPr>
          <w:rFonts w:ascii="Arial" w:hAnsi="Arial" w:cs="Arial"/>
          <w:sz w:val="20"/>
          <w:szCs w:val="20"/>
        </w:rPr>
        <w:t xml:space="preserve">, </w:t>
      </w:r>
      <w:r>
        <w:rPr>
          <w:rFonts w:ascii="Arial" w:hAnsi="Arial" w:cs="Arial"/>
          <w:sz w:val="20"/>
          <w:szCs w:val="20"/>
        </w:rPr>
        <w:t>usually on the morning of final presentation.</w:t>
      </w:r>
    </w:p>
    <w:p w:rsidR="002E28E3" w:rsidRDefault="002E28E3" w:rsidP="002E28E3"/>
    <w:p w:rsidR="002E28E3" w:rsidRDefault="002E28E3" w:rsidP="000E27D1">
      <w:pPr>
        <w:pStyle w:val="Heading2"/>
      </w:pPr>
      <w:r>
        <w:t>12.0</w:t>
      </w:r>
      <w:r>
        <w:tab/>
        <w:t>UNIVERSITY POLICIES AND GUIDELINES</w:t>
      </w:r>
    </w:p>
    <w:p w:rsidR="002E28E3" w:rsidRDefault="002E28E3" w:rsidP="002E28E3">
      <w:r>
        <w:t>This course is based on the university policies and guidelines. For further information, see the University and Faculty websites. On the Faculty website, the ‘Quick Reference Guide for New Students’ provides useful information on such things as key dates, where to go for help and advice, personal support and academic policies and procedures.</w:t>
      </w:r>
    </w:p>
    <w:p w:rsidR="002E28E3" w:rsidRDefault="002E28E3" w:rsidP="002E28E3"/>
    <w:p w:rsidR="002E28E3" w:rsidRDefault="002E28E3" w:rsidP="002E28E3">
      <w:r>
        <w:t xml:space="preserve">Students must note the following warning that applies to all material provided for this course. This includes printed material and electronic material, and material posted on </w:t>
      </w:r>
      <w:r w:rsidR="008C0437">
        <w:t>Canvas</w:t>
      </w:r>
      <w:r>
        <w:t>. If you are not sure about the requirements, ask for clarification from the course coordinator.</w:t>
      </w:r>
    </w:p>
    <w:p w:rsidR="002E28E3" w:rsidRDefault="002E28E3" w:rsidP="002E28E3"/>
    <w:p w:rsidR="000E27D1" w:rsidRDefault="000E27D1" w:rsidP="002E28E3"/>
    <w:tbl>
      <w:tblPr>
        <w:tblStyle w:val="TableGrid"/>
        <w:tblW w:w="0" w:type="auto"/>
        <w:tblCellMar>
          <w:top w:w="113" w:type="dxa"/>
          <w:left w:w="113" w:type="dxa"/>
          <w:bottom w:w="85" w:type="dxa"/>
          <w:right w:w="113" w:type="dxa"/>
        </w:tblCellMar>
        <w:tblLook w:val="04A0" w:firstRow="1" w:lastRow="0" w:firstColumn="1" w:lastColumn="0" w:noHBand="0" w:noVBand="1"/>
      </w:tblPr>
      <w:tblGrid>
        <w:gridCol w:w="10194"/>
      </w:tblGrid>
      <w:tr w:rsidR="000E27D1" w:rsidTr="009E043C">
        <w:tc>
          <w:tcPr>
            <w:tcW w:w="10194" w:type="dxa"/>
          </w:tcPr>
          <w:p w:rsidR="000E27D1" w:rsidRPr="000E27D1" w:rsidRDefault="000E27D1" w:rsidP="000E27D1">
            <w:pPr>
              <w:rPr>
                <w:b/>
              </w:rPr>
            </w:pPr>
            <w:r w:rsidRPr="000E27D1">
              <w:rPr>
                <w:b/>
              </w:rPr>
              <w:t>COPYRIGHT WARNING NOTICE</w:t>
            </w:r>
          </w:p>
          <w:p w:rsidR="000E27D1" w:rsidRDefault="000E27D1" w:rsidP="000E27D1">
            <w:r>
              <w:t>This material is protected by copyright and has been copied by and solely for the educational purposes of the University under licence. You may not sell, alter or further reproduce or distribute any part of this course pack/material to any other person. Where provided to you in electronic format, you may only print from it for your own private study and research. Failure to comply with the terms of this warning may expose you to legal action for copyright infringement and/or disciplinary action by the University.</w:t>
            </w:r>
          </w:p>
        </w:tc>
      </w:tr>
    </w:tbl>
    <w:p w:rsidR="000E27D1" w:rsidRDefault="000E27D1" w:rsidP="002E28E3"/>
    <w:sectPr w:rsidR="000E27D1" w:rsidSect="002E28E3">
      <w:footerReference w:type="default" r:id="rId11"/>
      <w:headerReference w:type="first" r:id="rId12"/>
      <w:footerReference w:type="first" r:id="rId13"/>
      <w:pgSz w:w="11906" w:h="16838" w:code="9"/>
      <w:pgMar w:top="1418" w:right="851" w:bottom="1418" w:left="851" w:header="85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A2C" w:rsidRDefault="005E6A2C" w:rsidP="002E28E3">
      <w:pPr>
        <w:spacing w:line="240" w:lineRule="auto"/>
      </w:pPr>
      <w:r>
        <w:separator/>
      </w:r>
    </w:p>
  </w:endnote>
  <w:endnote w:type="continuationSeparator" w:id="0">
    <w:p w:rsidR="005E6A2C" w:rsidRDefault="005E6A2C" w:rsidP="002E28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Palatino">
    <w:altName w:val="Book Antiqua"/>
    <w:charset w:val="00"/>
    <w:family w:val="auto"/>
    <w:pitch w:val="variable"/>
    <w:sig w:usb0="00000003" w:usb1="00000000" w:usb2="00000000" w:usb3="00000000" w:csb0="00000001" w:csb1="00000000"/>
  </w:font>
  <w:font w:name="GillSans">
    <w:altName w:val="Gill Sans"/>
    <w:panose1 w:val="00000000000000000000"/>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F2" w:rsidRDefault="003D6DF2">
    <w:pPr>
      <w:pStyle w:val="Footer"/>
    </w:pPr>
    <w:r>
      <w:fldChar w:fldCharType="begin"/>
    </w:r>
    <w:r>
      <w:instrText xml:space="preserve"> PAGE   \* MERGEFORMAT </w:instrText>
    </w:r>
    <w:r>
      <w:fldChar w:fldCharType="separate"/>
    </w:r>
    <w:r w:rsidR="00BF0C75">
      <w:rPr>
        <w:noProof/>
      </w:rPr>
      <w:t>3</w:t>
    </w:r>
    <w:r>
      <w:fldChar w:fldCharType="end"/>
    </w:r>
    <w:r>
      <w:t xml:space="preserve"> | </w:t>
    </w:r>
    <w:fldSimple w:instr=" NUMPAGES   \* MERGEFORMAT ">
      <w:r w:rsidR="00BF0C75">
        <w:rPr>
          <w:noProof/>
        </w:rPr>
        <w:t>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F2" w:rsidRDefault="003D6DF2">
    <w:pPr>
      <w:pStyle w:val="Footer"/>
    </w:pPr>
    <w:r>
      <w:fldChar w:fldCharType="begin"/>
    </w:r>
    <w:r>
      <w:instrText xml:space="preserve"> PAGE   \* MERGEFORMAT </w:instrText>
    </w:r>
    <w:r>
      <w:fldChar w:fldCharType="separate"/>
    </w:r>
    <w:r w:rsidR="00CD0515">
      <w:rPr>
        <w:noProof/>
      </w:rPr>
      <w:t>1</w:t>
    </w:r>
    <w:r>
      <w:fldChar w:fldCharType="end"/>
    </w:r>
    <w:r>
      <w:t xml:space="preserve"> | </w:t>
    </w:r>
    <w:fldSimple w:instr=" NUMPAGES   \* MERGEFORMAT ">
      <w:r w:rsidR="00CD0515">
        <w:rPr>
          <w:noProof/>
        </w:rPr>
        <w:t>8</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A2C" w:rsidRDefault="005E6A2C" w:rsidP="002E28E3">
      <w:pPr>
        <w:spacing w:line="240" w:lineRule="auto"/>
      </w:pPr>
      <w:r>
        <w:separator/>
      </w:r>
    </w:p>
  </w:footnote>
  <w:footnote w:type="continuationSeparator" w:id="0">
    <w:p w:rsidR="005E6A2C" w:rsidRDefault="005E6A2C" w:rsidP="002E28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DF2" w:rsidRDefault="003D6DF2">
    <w:pPr>
      <w:pStyle w:val="Header"/>
    </w:pPr>
    <w:r>
      <w:rPr>
        <w:noProof/>
        <w:lang w:eastAsia="en-NZ"/>
      </w:rPr>
      <w:drawing>
        <wp:inline distT="0" distB="0" distL="0" distR="0" wp14:anchorId="4DC17638" wp14:editId="11E11AB0">
          <wp:extent cx="2403643" cy="3600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I-H-Black.png"/>
                  <pic:cNvPicPr/>
                </pic:nvPicPr>
                <pic:blipFill>
                  <a:blip r:embed="rId1">
                    <a:extLst>
                      <a:ext uri="{28A0092B-C50C-407E-A947-70E740481C1C}">
                        <a14:useLocalDpi xmlns:a14="http://schemas.microsoft.com/office/drawing/2010/main" val="0"/>
                      </a:ext>
                    </a:extLst>
                  </a:blip>
                  <a:stretch>
                    <a:fillRect/>
                  </a:stretch>
                </pic:blipFill>
                <pic:spPr>
                  <a:xfrm>
                    <a:off x="0" y="0"/>
                    <a:ext cx="2403643" cy="36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CE9"/>
    <w:multiLevelType w:val="hybridMultilevel"/>
    <w:tmpl w:val="EC2CF4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8E7151"/>
    <w:multiLevelType w:val="hybridMultilevel"/>
    <w:tmpl w:val="0B0C3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890519"/>
    <w:multiLevelType w:val="hybridMultilevel"/>
    <w:tmpl w:val="5CAA43D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15:restartNumberingAfterBreak="0">
    <w:nsid w:val="2410390E"/>
    <w:multiLevelType w:val="multilevel"/>
    <w:tmpl w:val="B492CBC0"/>
    <w:lvl w:ilvl="0">
      <w:start w:val="1"/>
      <w:numFmt w:val="decimal"/>
      <w:lvlText w:val="%1.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4" w15:restartNumberingAfterBreak="0">
    <w:nsid w:val="31373F99"/>
    <w:multiLevelType w:val="hybridMultilevel"/>
    <w:tmpl w:val="A94676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8A4B5A"/>
    <w:multiLevelType w:val="hybridMultilevel"/>
    <w:tmpl w:val="DAE896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CB63286"/>
    <w:multiLevelType w:val="hybridMultilevel"/>
    <w:tmpl w:val="1436A8F4"/>
    <w:lvl w:ilvl="0" w:tplc="2BE8DC8A">
      <w:start w:val="199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2F67A3"/>
    <w:multiLevelType w:val="multilevel"/>
    <w:tmpl w:val="3218412E"/>
    <w:lvl w:ilvl="0">
      <w:start w:val="3"/>
      <w:numFmt w:val="decimal"/>
      <w:lvlText w:val="%1.1"/>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8" w15:restartNumberingAfterBreak="0">
    <w:nsid w:val="71F94038"/>
    <w:multiLevelType w:val="multilevel"/>
    <w:tmpl w:val="CE284E2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74BA58D2"/>
    <w:multiLevelType w:val="hybridMultilevel"/>
    <w:tmpl w:val="88A006D6"/>
    <w:lvl w:ilvl="0" w:tplc="C19AD622">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B4730E1"/>
    <w:multiLevelType w:val="multilevel"/>
    <w:tmpl w:val="AB6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5F090C"/>
    <w:multiLevelType w:val="hybridMultilevel"/>
    <w:tmpl w:val="77880B4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7DCD07F3"/>
    <w:multiLevelType w:val="multilevel"/>
    <w:tmpl w:val="5A22231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9"/>
  </w:num>
  <w:num w:numId="2">
    <w:abstractNumId w:val="8"/>
  </w:num>
  <w:num w:numId="3">
    <w:abstractNumId w:val="11"/>
  </w:num>
  <w:num w:numId="4">
    <w:abstractNumId w:val="0"/>
  </w:num>
  <w:num w:numId="5">
    <w:abstractNumId w:val="2"/>
  </w:num>
  <w:num w:numId="6">
    <w:abstractNumId w:val="6"/>
  </w:num>
  <w:num w:numId="7">
    <w:abstractNumId w:val="4"/>
  </w:num>
  <w:num w:numId="8">
    <w:abstractNumId w:val="12"/>
  </w:num>
  <w:num w:numId="9">
    <w:abstractNumId w:val="3"/>
  </w:num>
  <w:num w:numId="10">
    <w:abstractNumId w:val="7"/>
  </w:num>
  <w:num w:numId="11">
    <w:abstractNumId w:val="5"/>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B9"/>
    <w:rsid w:val="00005591"/>
    <w:rsid w:val="00041433"/>
    <w:rsid w:val="0006393E"/>
    <w:rsid w:val="000A20E8"/>
    <w:rsid w:val="000B0E78"/>
    <w:rsid w:val="000C4F04"/>
    <w:rsid w:val="000D19A4"/>
    <w:rsid w:val="000E27D1"/>
    <w:rsid w:val="000F1037"/>
    <w:rsid w:val="00105E71"/>
    <w:rsid w:val="00145F9E"/>
    <w:rsid w:val="001526B2"/>
    <w:rsid w:val="0016414F"/>
    <w:rsid w:val="001729FD"/>
    <w:rsid w:val="0018727A"/>
    <w:rsid w:val="0018783C"/>
    <w:rsid w:val="001B1DD1"/>
    <w:rsid w:val="001E223B"/>
    <w:rsid w:val="0020478A"/>
    <w:rsid w:val="002225F0"/>
    <w:rsid w:val="00233D02"/>
    <w:rsid w:val="00247EAE"/>
    <w:rsid w:val="002569C9"/>
    <w:rsid w:val="00260BCA"/>
    <w:rsid w:val="00273DFE"/>
    <w:rsid w:val="002C6534"/>
    <w:rsid w:val="002D7196"/>
    <w:rsid w:val="002E28E3"/>
    <w:rsid w:val="00395865"/>
    <w:rsid w:val="003A5273"/>
    <w:rsid w:val="003D6DF2"/>
    <w:rsid w:val="003F43E0"/>
    <w:rsid w:val="00404D18"/>
    <w:rsid w:val="00432AC0"/>
    <w:rsid w:val="00451EF4"/>
    <w:rsid w:val="00466FD3"/>
    <w:rsid w:val="00470890"/>
    <w:rsid w:val="004A2135"/>
    <w:rsid w:val="004D7900"/>
    <w:rsid w:val="004E3932"/>
    <w:rsid w:val="00510963"/>
    <w:rsid w:val="00531519"/>
    <w:rsid w:val="00546B62"/>
    <w:rsid w:val="00555DC6"/>
    <w:rsid w:val="00594C13"/>
    <w:rsid w:val="005A4B89"/>
    <w:rsid w:val="005B3AE0"/>
    <w:rsid w:val="005D6ABD"/>
    <w:rsid w:val="005E6A2C"/>
    <w:rsid w:val="005F0E9A"/>
    <w:rsid w:val="006001CC"/>
    <w:rsid w:val="00615EF2"/>
    <w:rsid w:val="0062345F"/>
    <w:rsid w:val="00683248"/>
    <w:rsid w:val="006B5169"/>
    <w:rsid w:val="006E1D41"/>
    <w:rsid w:val="00733957"/>
    <w:rsid w:val="007769AC"/>
    <w:rsid w:val="007850BB"/>
    <w:rsid w:val="007B607A"/>
    <w:rsid w:val="007C0A3E"/>
    <w:rsid w:val="007C713E"/>
    <w:rsid w:val="007D7F2F"/>
    <w:rsid w:val="007E7E69"/>
    <w:rsid w:val="008267F1"/>
    <w:rsid w:val="008569DF"/>
    <w:rsid w:val="0087788A"/>
    <w:rsid w:val="00890061"/>
    <w:rsid w:val="008C0437"/>
    <w:rsid w:val="008C169F"/>
    <w:rsid w:val="008C7F73"/>
    <w:rsid w:val="008D3B4A"/>
    <w:rsid w:val="008E24B9"/>
    <w:rsid w:val="00920EBB"/>
    <w:rsid w:val="009276C6"/>
    <w:rsid w:val="0093178C"/>
    <w:rsid w:val="00991DFD"/>
    <w:rsid w:val="009A4253"/>
    <w:rsid w:val="009E043C"/>
    <w:rsid w:val="00A1642B"/>
    <w:rsid w:val="00A16F54"/>
    <w:rsid w:val="00A17286"/>
    <w:rsid w:val="00A24963"/>
    <w:rsid w:val="00A455FD"/>
    <w:rsid w:val="00A85D90"/>
    <w:rsid w:val="00A866DA"/>
    <w:rsid w:val="00A87EE7"/>
    <w:rsid w:val="00A93C70"/>
    <w:rsid w:val="00AA4F7F"/>
    <w:rsid w:val="00AA7AEB"/>
    <w:rsid w:val="00AC268F"/>
    <w:rsid w:val="00AD620C"/>
    <w:rsid w:val="00B80379"/>
    <w:rsid w:val="00B9458D"/>
    <w:rsid w:val="00B9556E"/>
    <w:rsid w:val="00BB16FB"/>
    <w:rsid w:val="00BE7535"/>
    <w:rsid w:val="00BF0C75"/>
    <w:rsid w:val="00C52353"/>
    <w:rsid w:val="00C75D77"/>
    <w:rsid w:val="00C91E8E"/>
    <w:rsid w:val="00CA001C"/>
    <w:rsid w:val="00CA4A29"/>
    <w:rsid w:val="00CA6D78"/>
    <w:rsid w:val="00CB4F48"/>
    <w:rsid w:val="00CD0515"/>
    <w:rsid w:val="00CF0DB7"/>
    <w:rsid w:val="00CF110C"/>
    <w:rsid w:val="00CF15D7"/>
    <w:rsid w:val="00D07EA3"/>
    <w:rsid w:val="00D3245A"/>
    <w:rsid w:val="00D3632A"/>
    <w:rsid w:val="00D37240"/>
    <w:rsid w:val="00D43D16"/>
    <w:rsid w:val="00D5685D"/>
    <w:rsid w:val="00D74C22"/>
    <w:rsid w:val="00D80895"/>
    <w:rsid w:val="00D8596C"/>
    <w:rsid w:val="00DC6922"/>
    <w:rsid w:val="00DD36F2"/>
    <w:rsid w:val="00DE6B3B"/>
    <w:rsid w:val="00E45F9C"/>
    <w:rsid w:val="00E71145"/>
    <w:rsid w:val="00E93F88"/>
    <w:rsid w:val="00EC36FB"/>
    <w:rsid w:val="00F00561"/>
    <w:rsid w:val="00F040EB"/>
    <w:rsid w:val="00F11AB2"/>
    <w:rsid w:val="00F27E69"/>
    <w:rsid w:val="00F307B6"/>
    <w:rsid w:val="00F82099"/>
    <w:rsid w:val="00F83F18"/>
    <w:rsid w:val="00F93593"/>
    <w:rsid w:val="00FA09F3"/>
    <w:rsid w:val="00FA44C5"/>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62E1A5-5203-4641-A7FA-DF95B5044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8E3"/>
    <w:pPr>
      <w:spacing w:after="0" w:line="288" w:lineRule="auto"/>
      <w:jc w:val="both"/>
    </w:pPr>
    <w:rPr>
      <w:rFonts w:ascii="Arial" w:hAnsi="Arial"/>
      <w:sz w:val="20"/>
    </w:rPr>
  </w:style>
  <w:style w:type="paragraph" w:styleId="Heading1">
    <w:name w:val="heading 1"/>
    <w:basedOn w:val="Normal"/>
    <w:next w:val="Normal"/>
    <w:link w:val="Heading1Char"/>
    <w:uiPriority w:val="9"/>
    <w:qFormat/>
    <w:rsid w:val="000E27D1"/>
    <w:pPr>
      <w:keepNext/>
      <w:keepLines/>
      <w:spacing w:before="36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E27D1"/>
    <w:pPr>
      <w:keepNext/>
      <w:keepLines/>
      <w:spacing w:before="24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0E27D1"/>
    <w:pPr>
      <w:keepNext/>
      <w:keepLines/>
      <w:spacing w:before="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8E3"/>
    <w:pPr>
      <w:tabs>
        <w:tab w:val="center" w:pos="4513"/>
        <w:tab w:val="right" w:pos="9026"/>
      </w:tabs>
      <w:spacing w:line="240" w:lineRule="auto"/>
    </w:pPr>
  </w:style>
  <w:style w:type="character" w:customStyle="1" w:styleId="HeaderChar">
    <w:name w:val="Header Char"/>
    <w:basedOn w:val="DefaultParagraphFont"/>
    <w:link w:val="Header"/>
    <w:uiPriority w:val="99"/>
    <w:rsid w:val="002E28E3"/>
    <w:rPr>
      <w:rFonts w:ascii="Arial" w:hAnsi="Arial"/>
      <w:sz w:val="20"/>
    </w:rPr>
  </w:style>
  <w:style w:type="paragraph" w:styleId="Footer">
    <w:name w:val="footer"/>
    <w:basedOn w:val="Normal"/>
    <w:link w:val="FooterChar"/>
    <w:unhideWhenUsed/>
    <w:rsid w:val="002E28E3"/>
    <w:pPr>
      <w:tabs>
        <w:tab w:val="center" w:pos="4513"/>
        <w:tab w:val="right" w:pos="9026"/>
      </w:tabs>
      <w:spacing w:line="240" w:lineRule="auto"/>
    </w:pPr>
  </w:style>
  <w:style w:type="character" w:customStyle="1" w:styleId="FooterChar">
    <w:name w:val="Footer Char"/>
    <w:basedOn w:val="DefaultParagraphFont"/>
    <w:link w:val="Footer"/>
    <w:uiPriority w:val="99"/>
    <w:rsid w:val="002E28E3"/>
    <w:rPr>
      <w:rFonts w:ascii="Arial" w:hAnsi="Arial"/>
      <w:sz w:val="20"/>
    </w:rPr>
  </w:style>
  <w:style w:type="character" w:customStyle="1" w:styleId="Heading2Char">
    <w:name w:val="Heading 2 Char"/>
    <w:basedOn w:val="DefaultParagraphFont"/>
    <w:link w:val="Heading2"/>
    <w:uiPriority w:val="9"/>
    <w:rsid w:val="002E28E3"/>
    <w:rPr>
      <w:rFonts w:ascii="Arial" w:eastAsiaTheme="majorEastAsia" w:hAnsi="Arial" w:cstheme="majorBidi"/>
      <w:b/>
      <w:sz w:val="20"/>
      <w:szCs w:val="26"/>
    </w:rPr>
  </w:style>
  <w:style w:type="character" w:customStyle="1" w:styleId="Heading1Char">
    <w:name w:val="Heading 1 Char"/>
    <w:basedOn w:val="DefaultParagraphFont"/>
    <w:link w:val="Heading1"/>
    <w:uiPriority w:val="9"/>
    <w:rsid w:val="000E27D1"/>
    <w:rPr>
      <w:rFonts w:ascii="Arial" w:eastAsiaTheme="majorEastAsia" w:hAnsi="Arial" w:cstheme="majorBidi"/>
      <w:b/>
      <w:sz w:val="24"/>
      <w:szCs w:val="32"/>
    </w:rPr>
  </w:style>
  <w:style w:type="character" w:customStyle="1" w:styleId="Heading3Char">
    <w:name w:val="Heading 3 Char"/>
    <w:basedOn w:val="DefaultParagraphFont"/>
    <w:link w:val="Heading3"/>
    <w:uiPriority w:val="9"/>
    <w:rsid w:val="000E27D1"/>
    <w:rPr>
      <w:rFonts w:ascii="Arial" w:eastAsiaTheme="majorEastAsia" w:hAnsi="Arial" w:cstheme="majorBidi"/>
      <w:b/>
      <w:sz w:val="20"/>
      <w:szCs w:val="24"/>
    </w:rPr>
  </w:style>
  <w:style w:type="table" w:styleId="TableGrid">
    <w:name w:val="Table Grid"/>
    <w:basedOn w:val="TableNormal"/>
    <w:uiPriority w:val="59"/>
    <w:rsid w:val="000E2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09F3"/>
    <w:rPr>
      <w:color w:val="0563C1" w:themeColor="hyperlink"/>
      <w:u w:val="single"/>
    </w:rPr>
  </w:style>
  <w:style w:type="paragraph" w:styleId="BalloonText">
    <w:name w:val="Balloon Text"/>
    <w:basedOn w:val="Normal"/>
    <w:link w:val="BalloonTextChar"/>
    <w:uiPriority w:val="99"/>
    <w:semiHidden/>
    <w:unhideWhenUsed/>
    <w:rsid w:val="008778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88A"/>
    <w:rPr>
      <w:rFonts w:ascii="Lucida Grande" w:hAnsi="Lucida Grande" w:cs="Lucida Grande"/>
      <w:sz w:val="18"/>
      <w:szCs w:val="18"/>
    </w:rPr>
  </w:style>
  <w:style w:type="character" w:styleId="FollowedHyperlink">
    <w:name w:val="FollowedHyperlink"/>
    <w:basedOn w:val="DefaultParagraphFont"/>
    <w:uiPriority w:val="99"/>
    <w:semiHidden/>
    <w:unhideWhenUsed/>
    <w:rsid w:val="0087788A"/>
    <w:rPr>
      <w:color w:val="954F72" w:themeColor="followedHyperlink"/>
      <w:u w:val="single"/>
    </w:rPr>
  </w:style>
  <w:style w:type="character" w:customStyle="1" w:styleId="apple-converted-space">
    <w:name w:val="apple-converted-space"/>
    <w:basedOn w:val="DefaultParagraphFont"/>
    <w:rsid w:val="0087788A"/>
  </w:style>
  <w:style w:type="paragraph" w:customStyle="1" w:styleId="Indent1">
    <w:name w:val="Indent 1"/>
    <w:basedOn w:val="Normal"/>
    <w:rsid w:val="0087788A"/>
    <w:pPr>
      <w:spacing w:line="240" w:lineRule="auto"/>
      <w:ind w:left="840" w:hanging="840"/>
      <w:jc w:val="left"/>
    </w:pPr>
    <w:rPr>
      <w:rFonts w:ascii="Palatino" w:eastAsia="Times New Roman" w:hAnsi="Palatino" w:cs="Times New Roman"/>
      <w:sz w:val="22"/>
      <w:szCs w:val="20"/>
      <w:u w:val="single"/>
      <w:lang w:val="en-US"/>
    </w:rPr>
  </w:style>
  <w:style w:type="character" w:customStyle="1" w:styleId="4aBodycopyGillRegular">
    <w:name w:val="4a. Bodycopy Gill Regular"/>
    <w:rsid w:val="00F00561"/>
    <w:rPr>
      <w:rFonts w:ascii="GillSans" w:hAnsi="GillSans"/>
      <w:color w:val="000000"/>
    </w:rPr>
  </w:style>
  <w:style w:type="paragraph" w:styleId="ListParagraph">
    <w:name w:val="List Paragraph"/>
    <w:basedOn w:val="Normal"/>
    <w:uiPriority w:val="34"/>
    <w:qFormat/>
    <w:rsid w:val="00F00561"/>
    <w:pPr>
      <w:spacing w:line="240" w:lineRule="auto"/>
      <w:ind w:left="720"/>
      <w:jc w:val="left"/>
    </w:pPr>
    <w:rPr>
      <w:rFonts w:ascii="Times New Roman" w:eastAsia="Times New Roman" w:hAnsi="Times New Roman" w:cs="Times New Roman"/>
      <w:sz w:val="24"/>
      <w:szCs w:val="24"/>
      <w:lang w:val="en-GB"/>
    </w:rPr>
  </w:style>
  <w:style w:type="paragraph" w:styleId="NormalWeb">
    <w:name w:val="Normal (Web)"/>
    <w:basedOn w:val="Normal"/>
    <w:uiPriority w:val="99"/>
    <w:unhideWhenUsed/>
    <w:rsid w:val="000C4F04"/>
    <w:pPr>
      <w:spacing w:before="100" w:beforeAutospacing="1" w:after="100" w:afterAutospacing="1" w:line="240" w:lineRule="auto"/>
      <w:jc w:val="left"/>
    </w:pPr>
    <w:rPr>
      <w:rFonts w:ascii="Times New Roman" w:eastAsia="Times New Roman" w:hAnsi="Times New Roman" w:cs="Times New Roman"/>
      <w:sz w:val="24"/>
      <w:szCs w:val="24"/>
      <w:lang w:val="en-US"/>
    </w:rPr>
  </w:style>
  <w:style w:type="character" w:customStyle="1" w:styleId="lookup-resultcontent">
    <w:name w:val="lookup-result__content"/>
    <w:basedOn w:val="DefaultParagraphFont"/>
    <w:rsid w:val="005D6ABD"/>
  </w:style>
  <w:style w:type="paragraph" w:styleId="Caption">
    <w:name w:val="caption"/>
    <w:basedOn w:val="Normal"/>
    <w:next w:val="Normal"/>
    <w:uiPriority w:val="35"/>
    <w:unhideWhenUsed/>
    <w:qFormat/>
    <w:rsid w:val="00D37240"/>
    <w:pPr>
      <w:spacing w:after="200" w:line="240" w:lineRule="auto"/>
    </w:pPr>
    <w:rPr>
      <w:i/>
      <w:iCs/>
      <w:color w:val="44546A" w:themeColor="text2"/>
      <w:sz w:val="18"/>
      <w:szCs w:val="18"/>
    </w:rPr>
  </w:style>
  <w:style w:type="character" w:styleId="Emphasis">
    <w:name w:val="Emphasis"/>
    <w:basedOn w:val="DefaultParagraphFont"/>
    <w:uiPriority w:val="20"/>
    <w:qFormat/>
    <w:rsid w:val="004E3932"/>
    <w:rPr>
      <w:i/>
      <w:iCs/>
    </w:rPr>
  </w:style>
  <w:style w:type="character" w:customStyle="1" w:styleId="nlmstring-name">
    <w:name w:val="nlm_string-name"/>
    <w:basedOn w:val="DefaultParagraphFont"/>
    <w:rsid w:val="001729FD"/>
  </w:style>
  <w:style w:type="character" w:customStyle="1" w:styleId="nlmyear">
    <w:name w:val="nlm_year"/>
    <w:basedOn w:val="DefaultParagraphFont"/>
    <w:rsid w:val="001729FD"/>
  </w:style>
  <w:style w:type="character" w:customStyle="1" w:styleId="nlmpublisher-loc">
    <w:name w:val="nlm_publisher-loc"/>
    <w:basedOn w:val="DefaultParagraphFont"/>
    <w:rsid w:val="001729FD"/>
  </w:style>
  <w:style w:type="character" w:customStyle="1" w:styleId="nlmpublisher-name">
    <w:name w:val="nlm_publisher-name"/>
    <w:basedOn w:val="DefaultParagraphFont"/>
    <w:rsid w:val="001729FD"/>
  </w:style>
  <w:style w:type="character" w:styleId="Strong">
    <w:name w:val="Strong"/>
    <w:basedOn w:val="DefaultParagraphFont"/>
    <w:uiPriority w:val="22"/>
    <w:qFormat/>
    <w:rsid w:val="001729FD"/>
    <w:rPr>
      <w:b/>
      <w:bCs/>
    </w:rPr>
  </w:style>
  <w:style w:type="character" w:customStyle="1" w:styleId="publication-meta-journal">
    <w:name w:val="publication-meta-journal"/>
    <w:basedOn w:val="DefaultParagraphFont"/>
    <w:rsid w:val="001729FD"/>
  </w:style>
  <w:style w:type="character" w:customStyle="1" w:styleId="publication-meta-separator">
    <w:name w:val="publication-meta-separator"/>
    <w:basedOn w:val="DefaultParagraphFont"/>
    <w:rsid w:val="001729FD"/>
  </w:style>
  <w:style w:type="character" w:customStyle="1" w:styleId="publication-meta-date">
    <w:name w:val="publication-meta-date"/>
    <w:basedOn w:val="DefaultParagraphFont"/>
    <w:rsid w:val="001729FD"/>
  </w:style>
  <w:style w:type="character" w:customStyle="1" w:styleId="publication-meta-stats">
    <w:name w:val="publication-meta-stats"/>
    <w:basedOn w:val="DefaultParagraphFont"/>
    <w:rsid w:val="001729FD"/>
  </w:style>
  <w:style w:type="character" w:customStyle="1" w:styleId="publication-author-position">
    <w:name w:val="publication-author-position"/>
    <w:basedOn w:val="DefaultParagraphFont"/>
    <w:rsid w:val="00172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638924">
      <w:bodyDiv w:val="1"/>
      <w:marLeft w:val="0"/>
      <w:marRight w:val="0"/>
      <w:marTop w:val="0"/>
      <w:marBottom w:val="0"/>
      <w:divBdr>
        <w:top w:val="none" w:sz="0" w:space="0" w:color="auto"/>
        <w:left w:val="none" w:sz="0" w:space="0" w:color="auto"/>
        <w:bottom w:val="none" w:sz="0" w:space="0" w:color="auto"/>
        <w:right w:val="none" w:sz="0" w:space="0" w:color="auto"/>
      </w:divBdr>
      <w:divsChild>
        <w:div w:id="1623072843">
          <w:marLeft w:val="0"/>
          <w:marRight w:val="0"/>
          <w:marTop w:val="0"/>
          <w:marBottom w:val="0"/>
          <w:divBdr>
            <w:top w:val="none" w:sz="0" w:space="0" w:color="auto"/>
            <w:left w:val="none" w:sz="0" w:space="0" w:color="auto"/>
            <w:bottom w:val="none" w:sz="0" w:space="0" w:color="auto"/>
            <w:right w:val="none" w:sz="0" w:space="0" w:color="auto"/>
          </w:divBdr>
        </w:div>
      </w:divsChild>
    </w:div>
    <w:div w:id="912471047">
      <w:bodyDiv w:val="1"/>
      <w:marLeft w:val="0"/>
      <w:marRight w:val="0"/>
      <w:marTop w:val="0"/>
      <w:marBottom w:val="0"/>
      <w:divBdr>
        <w:top w:val="none" w:sz="0" w:space="0" w:color="auto"/>
        <w:left w:val="none" w:sz="0" w:space="0" w:color="auto"/>
        <w:bottom w:val="none" w:sz="0" w:space="0" w:color="auto"/>
        <w:right w:val="none" w:sz="0" w:space="0" w:color="auto"/>
      </w:divBdr>
    </w:div>
    <w:div w:id="1033381836">
      <w:bodyDiv w:val="1"/>
      <w:marLeft w:val="0"/>
      <w:marRight w:val="0"/>
      <w:marTop w:val="0"/>
      <w:marBottom w:val="0"/>
      <w:divBdr>
        <w:top w:val="none" w:sz="0" w:space="0" w:color="auto"/>
        <w:left w:val="none" w:sz="0" w:space="0" w:color="auto"/>
        <w:bottom w:val="none" w:sz="0" w:space="0" w:color="auto"/>
        <w:right w:val="none" w:sz="0" w:space="0" w:color="auto"/>
      </w:divBdr>
      <w:divsChild>
        <w:div w:id="864363597">
          <w:marLeft w:val="0"/>
          <w:marRight w:val="0"/>
          <w:marTop w:val="0"/>
          <w:marBottom w:val="0"/>
          <w:divBdr>
            <w:top w:val="none" w:sz="0" w:space="0" w:color="auto"/>
            <w:left w:val="none" w:sz="0" w:space="0" w:color="auto"/>
            <w:bottom w:val="none" w:sz="0" w:space="0" w:color="auto"/>
            <w:right w:val="none" w:sz="0" w:space="0" w:color="auto"/>
          </w:divBdr>
        </w:div>
      </w:divsChild>
    </w:div>
    <w:div w:id="1542399384">
      <w:bodyDiv w:val="1"/>
      <w:marLeft w:val="0"/>
      <w:marRight w:val="0"/>
      <w:marTop w:val="0"/>
      <w:marBottom w:val="0"/>
      <w:divBdr>
        <w:top w:val="none" w:sz="0" w:space="0" w:color="auto"/>
        <w:left w:val="none" w:sz="0" w:space="0" w:color="auto"/>
        <w:bottom w:val="none" w:sz="0" w:space="0" w:color="auto"/>
        <w:right w:val="none" w:sz="0" w:space="0" w:color="auto"/>
      </w:divBdr>
      <w:divsChild>
        <w:div w:id="830755292">
          <w:marLeft w:val="0"/>
          <w:marRight w:val="0"/>
          <w:marTop w:val="0"/>
          <w:marBottom w:val="300"/>
          <w:divBdr>
            <w:top w:val="none" w:sz="0" w:space="0" w:color="auto"/>
            <w:left w:val="none" w:sz="0" w:space="0" w:color="auto"/>
            <w:bottom w:val="none" w:sz="0" w:space="0" w:color="auto"/>
            <w:right w:val="none" w:sz="0" w:space="0" w:color="auto"/>
          </w:divBdr>
          <w:divsChild>
            <w:div w:id="1630477248">
              <w:marLeft w:val="0"/>
              <w:marRight w:val="0"/>
              <w:marTop w:val="75"/>
              <w:marBottom w:val="0"/>
              <w:divBdr>
                <w:top w:val="none" w:sz="0" w:space="0" w:color="auto"/>
                <w:left w:val="none" w:sz="0" w:space="0" w:color="auto"/>
                <w:bottom w:val="none" w:sz="0" w:space="0" w:color="auto"/>
                <w:right w:val="none" w:sz="0" w:space="0" w:color="auto"/>
              </w:divBdr>
            </w:div>
          </w:divsChild>
        </w:div>
        <w:div w:id="1727800582">
          <w:marLeft w:val="0"/>
          <w:marRight w:val="0"/>
          <w:marTop w:val="0"/>
          <w:marBottom w:val="450"/>
          <w:divBdr>
            <w:top w:val="none" w:sz="0" w:space="0" w:color="auto"/>
            <w:left w:val="none" w:sz="0" w:space="0" w:color="auto"/>
            <w:bottom w:val="none" w:sz="0" w:space="0" w:color="auto"/>
            <w:right w:val="none" w:sz="0" w:space="0" w:color="auto"/>
          </w:divBdr>
          <w:divsChild>
            <w:div w:id="1288007971">
              <w:marLeft w:val="0"/>
              <w:marRight w:val="0"/>
              <w:marTop w:val="0"/>
              <w:marBottom w:val="0"/>
              <w:divBdr>
                <w:top w:val="single" w:sz="6" w:space="5" w:color="DDDDDD"/>
                <w:left w:val="single" w:sz="6" w:space="5" w:color="DDDDDD"/>
                <w:bottom w:val="single" w:sz="6" w:space="5" w:color="DDDDDD"/>
                <w:right w:val="single" w:sz="6" w:space="5" w:color="DDDDDD"/>
              </w:divBdr>
              <w:divsChild>
                <w:div w:id="314186669">
                  <w:marLeft w:val="0"/>
                  <w:marRight w:val="0"/>
                  <w:marTop w:val="45"/>
                  <w:marBottom w:val="0"/>
                  <w:divBdr>
                    <w:top w:val="none" w:sz="0" w:space="0" w:color="auto"/>
                    <w:left w:val="none" w:sz="0" w:space="0" w:color="auto"/>
                    <w:bottom w:val="none" w:sz="0" w:space="0" w:color="auto"/>
                    <w:right w:val="none" w:sz="0" w:space="0" w:color="auto"/>
                  </w:divBdr>
                  <w:divsChild>
                    <w:div w:id="12524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dn.auckland.ac.nz/assets/creative/for/current-students/course-planning-enrolment/Planning-and-enrolment-assets/NICAI%20grade%20descriptors.pdf"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3082</Words>
  <Characters>17570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20611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Boarin</dc:creator>
  <cp:keywords/>
  <dc:description/>
  <cp:lastModifiedBy>Manfredo Manfredini</cp:lastModifiedBy>
  <cp:revision>2</cp:revision>
  <cp:lastPrinted>2017-02-27T21:03:00Z</cp:lastPrinted>
  <dcterms:created xsi:type="dcterms:W3CDTF">2017-03-01T20:58:00Z</dcterms:created>
  <dcterms:modified xsi:type="dcterms:W3CDTF">2017-03-01T20:58:00Z</dcterms:modified>
</cp:coreProperties>
</file>